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ADHD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clinicaldocslibrary.com/assessment-reports/adhd-evaluation/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Grade / School or Occupation: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Information &amp; Presenting Concerns</w:t>
      </w:r>
    </w:p>
    <w:p>
      <w:pPr>
        <w:spacing w:before="60"/>
      </w:pPr>
      <w:r>
        <w:rPr>
          <w:b/>
          <w:bCs/>
        </w:rPr>
        <w:t xml:space="preserve">Referral &amp; concerns</w:t>
      </w:r>
    </w:p>
    <w:p>
      <w:pPr>
        <w:spacing w:after="120"/>
      </w:pPr>
      <w:r>
        <w:rPr>
          <w:color w:val="9CA3AF"/>
        </w:rPr>
        <w:t xml:space="preserve">[Who referred, the specific attention/hyperactivity/behavioral concerns, and the questions the evaluation must answer; for minors include both parent and teacher concerns]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[Developmental, academic (grades, retention, prior testing), behavioral, medical (head injury, sleep, medications), family history of ADHD/LD/psychiatric conditions, prior treatment, substance use]</w:t>
      </w:r>
    </w:p>
    <w:p>
      <w:pPr>
        <w:pStyle w:val="Heading2"/>
        <w:spacing w:before="200"/>
      </w:pPr>
      <w:r>
        <w:t xml:space="preserve">Instruments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[Cognitive measure — e.g., WISC-V / WAIS-IV]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[Continuous performance test — e.g., CPT-3 / TOVA]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[ADHD rating scales, multiple informants — e.g., Conners 4 / Vanderbilt / ASRS]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[Executive function measure — e.g., BRIEF-2; broadband measure — e.g., BASC-3 / CBCL]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[Attention, activity level, effort, need for redirection during testing; note how the one-on-one testing setting may differ from classroom/workplace conditions]</w:t>
      </w:r>
    </w:p>
    <w:p>
      <w:pPr>
        <w:pStyle w:val="Heading2"/>
        <w:spacing w:before="200"/>
      </w:pPr>
      <w:r>
        <w:t xml:space="preserve">Results &amp; Interpretation</w:t>
      </w:r>
    </w:p>
    <w:p>
      <w:pPr>
        <w:spacing w:before="60"/>
      </w:pPr>
      <w:r>
        <w:rPr>
          <w:b/>
          <w:bCs/>
        </w:rPr>
        <w:t xml:space="preserve">Findings by measure</w:t>
      </w:r>
    </w:p>
    <w:p>
      <w:pPr>
        <w:spacing w:after="120"/>
      </w:pPr>
      <w:r>
        <w:rPr>
          <w:color w:val="9CA3AF"/>
        </w:rPr>
        <w:t xml:space="preserve">[Report scores with plain-language interpretation; identify convergent findings across informants and methods — e.g., working memory/processing speed profile, CPT omissions/commissions/variability, rating-scale elevations]</w:t>
      </w:r>
    </w:p>
    <w:p>
      <w:pPr>
        <w:pStyle w:val="Heading2"/>
        <w:spacing w:before="200"/>
      </w:pPr>
      <w:r>
        <w:t xml:space="preserve">DSM-5-TR Criteria Analysis</w:t>
      </w:r>
    </w:p>
    <w:p>
      <w:pPr>
        <w:spacing w:after="80"/>
      </w:pPr>
      <w:r>
        <w:rPr>
          <w:b/>
          <w:bCs/>
        </w:rPr>
        <w:t xml:space="preserve">Inattention symptoms endorsed: </w:t>
      </w:r>
      <w:r>
        <w:rPr>
          <w:color w:val="9CA3AF"/>
        </w:rPr>
        <w:t xml:space="preserve">[__ of 9 — list each symptom with supporting evidence; threshold 6 (5 if age 17+)]</w:t>
      </w:r>
    </w:p>
    <w:p>
      <w:pPr>
        <w:spacing w:after="80"/>
      </w:pPr>
      <w:r>
        <w:rPr>
          <w:b/>
          <w:bCs/>
        </w:rPr>
        <w:t xml:space="preserve">Hyperactivity-impulsivity symptoms endorsed: </w:t>
      </w:r>
      <w:r>
        <w:rPr>
          <w:color w:val="9CA3AF"/>
        </w:rPr>
        <w:t xml:space="preserve">[__ of 9 — list each with evidence]</w:t>
      </w:r>
    </w:p>
    <w:p>
      <w:pPr>
        <w:spacing w:after="80"/>
      </w:pPr>
      <w:r>
        <w:rPr>
          <w:b/>
          <w:bCs/>
        </w:rPr>
        <w:t xml:space="preserve">Duration ≥6 months: </w:t>
      </w:r>
      <w:r>
        <w:rPr>
          <w:color w:val="9CA3AF"/>
        </w:rPr>
        <w:t xml:space="preserve">[Evidence]</w:t>
      </w:r>
    </w:p>
    <w:p>
      <w:pPr>
        <w:spacing w:after="80"/>
      </w:pPr>
      <w:r>
        <w:rPr>
          <w:b/>
          <w:bCs/>
        </w:rPr>
        <w:t xml:space="preserve">Several symptoms present before age 12: </w:t>
      </w:r>
      <w:r>
        <w:rPr>
          <w:color w:val="9CA3AF"/>
        </w:rPr>
        <w:t xml:space="preserve">[Report cards, prior records, collateral history]</w:t>
      </w:r>
    </w:p>
    <w:p>
      <w:pPr>
        <w:spacing w:after="80"/>
      </w:pPr>
      <w:r>
        <w:rPr>
          <w:b/>
          <w:bCs/>
        </w:rPr>
        <w:t xml:space="preserve">Symptoms present in 2+ settings: </w:t>
      </w:r>
      <w:r>
        <w:rPr>
          <w:color w:val="9CA3AF"/>
        </w:rPr>
        <w:t xml:space="preserve">[Home / school / work / social — cite informants]</w:t>
      </w:r>
    </w:p>
    <w:p>
      <w:pPr>
        <w:spacing w:after="80"/>
      </w:pPr>
      <w:r>
        <w:rPr>
          <w:b/>
          <w:bCs/>
        </w:rPr>
        <w:t xml:space="preserve">Functional impairment: </w:t>
      </w:r>
      <w:r>
        <w:rPr>
          <w:color w:val="9CA3AF"/>
        </w:rPr>
        <w:t xml:space="preserve">[Academic, occupational, or social impairment documented]</w:t>
      </w:r>
    </w:p>
    <w:p>
      <w:pPr>
        <w:spacing w:after="80"/>
      </w:pPr>
      <w:r>
        <w:rPr>
          <w:b/>
          <w:bCs/>
        </w:rPr>
        <w:t xml:space="preserve">Not better explained by another disorder: </w:t>
      </w:r>
      <w:r>
        <w:rPr>
          <w:color w:val="9CA3AF"/>
        </w:rPr>
        <w:t xml:space="preserve">[Anxiety, depression, trauma, sleep, LD, substance use — reasoning]</w:t>
      </w:r>
    </w:p>
    <w:p>
      <w:pPr>
        <w:spacing w:after="80"/>
      </w:pPr>
      <w:r>
        <w:rPr>
          <w:b/>
          <w:bCs/>
        </w:rPr>
        <w:t xml:space="preserve">Presentation specifier: </w:t>
      </w:r>
      <w:r>
        <w:rPr>
          <w:color w:val="9CA3AF"/>
        </w:rPr>
        <w:t xml:space="preserve">[Predominantly Inattentive / Predominantly Hyperactive-Impulsive / Combined]</w:t>
      </w:r>
    </w:p>
    <w:p>
      <w:pPr>
        <w:pStyle w:val="Heading2"/>
        <w:spacing w:before="200"/>
      </w:pPr>
      <w:r>
        <w:t xml:space="preserve">Diagnostic Formulation &amp; Differential</w:t>
      </w:r>
    </w:p>
    <w:p>
      <w:pPr>
        <w:spacing w:before="60"/>
      </w:pPr>
      <w:r>
        <w:rPr>
          <w:b/>
          <w:bCs/>
        </w:rPr>
        <w:t xml:space="preserve">Formulation</w:t>
      </w:r>
    </w:p>
    <w:p>
      <w:pPr>
        <w:spacing w:after="120"/>
      </w:pPr>
      <w:r>
        <w:rPr>
          <w:color w:val="9CA3AF"/>
        </w:rPr>
        <w:t xml:space="preserve">[Integrate all data sources; address alternatives considered and ruled out; document comorbid conditions]</w:t>
      </w:r>
    </w:p>
    <w:p>
      <w:pPr>
        <w:spacing w:after="80"/>
      </w:pPr>
      <w:r>
        <w:rPr>
          <w:b/>
          <w:bCs/>
        </w:rPr>
        <w:t xml:space="preserve">Diagnosis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before="60"/>
      </w:pPr>
      <w:r>
        <w:rPr>
          <w:b/>
          <w:bCs/>
        </w:rPr>
        <w:t xml:space="preserve">Treatment</w:t>
      </w:r>
    </w:p>
    <w:p>
      <w:pPr>
        <w:spacing w:after="120"/>
      </w:pPr>
      <w:r>
        <w:rPr>
          <w:color w:val="9CA3AF"/>
        </w:rPr>
        <w:t xml:space="preserve">[Medication referral, therapy/coaching, psychoeducation — tied to specific findings]</w:t>
      </w:r>
    </w:p>
    <w:p>
      <w:pPr>
        <w:spacing w:before="60"/>
      </w:pPr>
      <w:r>
        <w:rPr>
          <w:b/>
          <w:bCs/>
        </w:rPr>
        <w:t xml:space="preserve">School / workplace accommodations</w:t>
      </w:r>
    </w:p>
    <w:p>
      <w:pPr>
        <w:spacing w:after="120"/>
      </w:pPr>
      <w:r>
        <w:rPr>
          <w:color w:val="9CA3AF"/>
        </w:rPr>
        <w:t xml:space="preserve">[Specific accommodations (e.g., extended time, preferential seating, written instructions), each linked to a documented deficit; note 504/IEP or ADA pathway]</w:t>
      </w:r>
    </w:p>
    <w:p>
      <w:pPr>
        <w:spacing w:before="60"/>
      </w:pPr>
      <w:r>
        <w:rPr>
          <w:b/>
          <w:bCs/>
        </w:rPr>
        <w:t xml:space="preserve">Home strategies</w:t>
      </w:r>
    </w:p>
    <w:p>
      <w:pPr>
        <w:spacing w:after="120"/>
      </w:pPr>
      <w:r>
        <w:rPr>
          <w:color w:val="9CA3AF"/>
        </w:rPr>
        <w:t xml:space="preserve">[Routines, checklists, organizational systems, one-step instructions]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adhd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ADHD Evaluation Report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