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Autism (ASD) Diagnostic Evaluation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clinicaldocslibrary.com/assessment-reports/autism-evaluation/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Referral Question</w:t>
      </w:r>
    </w:p>
    <w:p>
      <w:pPr>
        <w:spacing w:before="60"/>
      </w:pPr>
      <w:r>
        <w:rPr>
          <w:b/>
          <w:bCs/>
        </w:rPr>
        <w:t xml:space="preserve">Referral question</w:t>
      </w:r>
    </w:p>
    <w:p>
      <w:pPr>
        <w:spacing w:after="120"/>
      </w:pPr>
      <w:r>
        <w:rPr>
          <w:color w:val="9CA3AF"/>
        </w:rPr>
        <w:t xml:space="preserve">[Concerns prompting the evaluation and the specific diagnostic questions — e.g., does the client meet DSM-5-TR criteria for ASD; cognitive/adaptive profile; recommended supports]</w:t>
      </w:r>
    </w:p>
    <w:p>
      <w:pPr>
        <w:pStyle w:val="Heading2"/>
        <w:spacing w:before="200"/>
      </w:pPr>
      <w:r>
        <w:t xml:space="preserve">Evaluation Methods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[Standardized observation — e.g., ADOS-2, module selected by expressive language level]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[Developmental history interview — e.g., ADI-R or equivalent caregiver interview]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[Cognitive measure; adaptive behavior measure — e.g., Vineland-3 / ABAS-3]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[Rating scales (e.g., SRS-2 parent/teacher), sensory measure, records review, collateral interviews]</w:t>
      </w:r>
    </w:p>
    <w:p>
      <w:pPr>
        <w:pStyle w:val="Heading2"/>
        <w:spacing w:before="200"/>
      </w:pPr>
      <w:r>
        <w:t xml:space="preserve">Developmental History</w:t>
      </w:r>
    </w:p>
    <w:p>
      <w:pPr>
        <w:spacing w:before="60"/>
      </w:pPr>
      <w:r>
        <w:rPr>
          <w:b/>
          <w:bCs/>
        </w:rPr>
        <w:t xml:space="preserve">Developmental history</w:t>
      </w:r>
    </w:p>
    <w:p>
      <w:pPr>
        <w:spacing w:after="120"/>
      </w:pPr>
      <w:r>
        <w:rPr>
          <w:color w:val="9CA3AF"/>
        </w:rPr>
        <w:t xml:space="preserve">[Pregnancy/birth, motor and language milestones (and any regression), social development (joint attention, imaginative play, peer relationships), restricted/repetitive behaviors, sensory responses, medical and family history]</w:t>
      </w:r>
    </w:p>
    <w:p>
      <w:pPr>
        <w:pStyle w:val="Heading2"/>
        <w:spacing w:before="200"/>
      </w:pPr>
      <w:r>
        <w:t xml:space="preserve">Caregiver, Teacher &amp; Rating-Scale Findings</w:t>
      </w:r>
    </w:p>
    <w:p>
      <w:pPr>
        <w:spacing w:before="60"/>
      </w:pPr>
      <w:r>
        <w:rPr>
          <w:b/>
          <w:bCs/>
        </w:rPr>
        <w:t xml:space="preserve">Multi-informant findings</w:t>
      </w:r>
    </w:p>
    <w:p>
      <w:pPr>
        <w:spacing w:after="120"/>
      </w:pPr>
      <w:r>
        <w:rPr>
          <w:color w:val="9CA3AF"/>
        </w:rPr>
        <w:t xml:space="preserve">[Interview and rating-scale results from each informant; note cross-setting consistency and discrepancies]</w:t>
      </w:r>
    </w:p>
    <w:p>
      <w:pPr>
        <w:pStyle w:val="Heading2"/>
        <w:spacing w:before="200"/>
      </w:pPr>
      <w:r>
        <w:t xml:space="preserve">Behavioral Observations &amp; Standardized Assessment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[Social overtures, reciprocity, nonverbal communication, play, repetitive behaviors, sensory responses during the evaluation; state the ADOS-2 classification by name and characterize the comparison score qualitatively — do not reproduce item scores, algorithm totals, or cutoff values in the released report]</w:t>
      </w:r>
    </w:p>
    <w:p>
      <w:pPr>
        <w:pStyle w:val="Heading2"/>
        <w:spacing w:before="200"/>
      </w:pPr>
      <w:r>
        <w:t xml:space="preserve">Cognitive &amp; Adaptive Functioning</w:t>
      </w:r>
    </w:p>
    <w:p>
      <w:pPr>
        <w:spacing w:before="60"/>
      </w:pPr>
      <w:r>
        <w:rPr>
          <w:b/>
          <w:bCs/>
        </w:rPr>
        <w:t xml:space="preserve">Cognitive results</w:t>
      </w:r>
    </w:p>
    <w:p>
      <w:pPr>
        <w:spacing w:after="120"/>
      </w:pPr>
      <w:r>
        <w:rPr>
          <w:color w:val="9CA3AF"/>
        </w:rPr>
        <w:t xml:space="preserve">[Index/composite scores with interpretation; presence or absence of intellectual disability]</w:t>
      </w:r>
    </w:p>
    <w:p>
      <w:pPr>
        <w:spacing w:before="60"/>
      </w:pPr>
      <w:r>
        <w:rPr>
          <w:b/>
          <w:bCs/>
        </w:rPr>
        <w:t xml:space="preserve">Adaptive behavior results</w:t>
      </w:r>
    </w:p>
    <w:p>
      <w:pPr>
        <w:spacing w:after="120"/>
      </w:pPr>
      <w:r>
        <w:rPr>
          <w:color w:val="9CA3AF"/>
        </w:rPr>
        <w:t xml:space="preserve">[Domain scores; note any cognitive-adaptive gap, common in ASD]</w:t>
      </w:r>
    </w:p>
    <w:p>
      <w:pPr>
        <w:pStyle w:val="Heading2"/>
        <w:spacing w:before="200"/>
      </w:pPr>
      <w:r>
        <w:t xml:space="preserve">DSM-5-TR Criteria Mapping</w:t>
      </w:r>
    </w:p>
    <w:p>
      <w:pPr>
        <w:spacing w:before="60"/>
      </w:pPr>
      <w:r>
        <w:rPr>
          <w:b/>
          <w:bCs/>
        </w:rPr>
        <w:t xml:space="preserve">Criterion A — social communication (all 3 required)</w:t>
      </w:r>
    </w:p>
    <w:p>
      <w:pPr>
        <w:spacing w:after="120"/>
      </w:pPr>
      <w:r>
        <w:rPr>
          <w:color w:val="9CA3AF"/>
        </w:rPr>
        <w:t xml:space="preserve">[A1 social-emotional reciprocity; A2 nonverbal communication; A3 relationships — cite specific evidence for each]</w:t>
      </w:r>
    </w:p>
    <w:p>
      <w:pPr>
        <w:spacing w:before="60"/>
      </w:pPr>
      <w:r>
        <w:rPr>
          <w:b/>
          <w:bCs/>
        </w:rPr>
        <w:t xml:space="preserve">Criterion B — restricted/repetitive behaviors (2+ of 4)</w:t>
      </w:r>
    </w:p>
    <w:p>
      <w:pPr>
        <w:spacing w:after="120"/>
      </w:pPr>
      <w:r>
        <w:rPr>
          <w:color w:val="9CA3AF"/>
        </w:rPr>
        <w:t xml:space="preserve">[B1 stereotyped movements/speech; B2 insistence on sameness; B3 fixated interests; B4 sensory hyper/hypo-reactivity — cite evidence]</w:t>
      </w:r>
    </w:p>
    <w:p>
      <w:pPr>
        <w:spacing w:after="80"/>
      </w:pPr>
      <w:r>
        <w:rPr>
          <w:b/>
          <w:bCs/>
        </w:rPr>
        <w:t xml:space="preserve">Criterion C — early developmental onset: </w:t>
      </w:r>
      <w:r>
        <w:rPr>
          <w:color w:val="9CA3AF"/>
        </w:rPr>
        <w:t xml:space="preserve">[Evidence from history]</w:t>
      </w:r>
    </w:p>
    <w:p>
      <w:pPr>
        <w:spacing w:after="80"/>
      </w:pPr>
      <w:r>
        <w:rPr>
          <w:b/>
          <w:bCs/>
        </w:rPr>
        <w:t xml:space="preserve">Criterion D — clinically significant impairment: </w:t>
      </w:r>
      <w:r>
        <w:rPr>
          <w:color w:val="9CA3AF"/>
        </w:rPr>
        <w:t xml:space="preserve">[Settings and functional impact]</w:t>
      </w:r>
    </w:p>
    <w:p>
      <w:pPr>
        <w:spacing w:after="80"/>
      </w:pPr>
      <w:r>
        <w:rPr>
          <w:b/>
          <w:bCs/>
        </w:rPr>
        <w:t xml:space="preserve">Criterion E — not better explained by ID/global delay: </w:t>
      </w:r>
      <w:r>
        <w:rPr>
          <w:color w:val="9CA3AF"/>
        </w:rPr>
        <w:t xml:space="preserve">[Cognitive findings]</w:t>
      </w:r>
    </w:p>
    <w:p>
      <w:pPr>
        <w:pStyle w:val="Heading2"/>
        <w:spacing w:before="200"/>
      </w:pPr>
      <w:r>
        <w:t xml:space="preserve">Diagnostic Impressions</w:t>
      </w:r>
    </w:p>
    <w:p>
      <w:pPr>
        <w:spacing w:after="80"/>
      </w:pPr>
      <w:r>
        <w:rPr>
          <w:b/>
          <w:bCs/>
        </w:rPr>
        <w:t xml:space="preserve">Diagnosis with severity levels: </w:t>
      </w:r>
      <w:r>
        <w:rPr>
          <w:color w:val="9CA3AF"/>
        </w:rPr>
        <w:t xml:space="preserve">[ASD (F84.0) — Level 1/2/3 for social communication AND for restricted/repetitive behaviors; specifiers: with/without intellectual impairment, with/without language impairment, associated conditions; or criteria not met with alternative explanation]</w:t>
      </w:r>
    </w:p>
    <w:p>
      <w:pPr>
        <w:pStyle w:val="Heading2"/>
        <w:spacing w:before="200"/>
      </w:pPr>
      <w:r>
        <w:t xml:space="preserve">Recommendations</w:t>
      </w:r>
    </w:p>
    <w:p>
      <w:pPr>
        <w:spacing w:after="120"/>
      </w:pPr>
      <w:r>
        <w:rPr>
          <w:color w:val="9CA3AF"/>
        </w:rPr>
        <w:t xml:space="preserve">[Specific, actionable next steps: educational classification/IEP referral, named therapies (e.g., ABA, pragmatic speech-language, social skills curriculum, OT), classroom supports, parent training and community resources, monitoring for co-occurring conditions, re-evaluation timeline]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autism-evalu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Autism (ASD) Diagnostic Evaluation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