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Bariatric Pre-Surgical Psychological Evaluation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clinicaldocslibrary.com/assessment-reports/bariatric-evaluation/</w:t>
      </w:r>
    </w:p>
    <w:p>
      <w:pPr>
        <w:spacing w:after="80"/>
      </w:pPr>
      <w:r>
        <w:rPr>
          <w:b/>
          <w:bCs/>
        </w:rPr>
        <w:t xml:space="preserve">Patient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Evaluation / 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Referring Surgeon / Program: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Planned Procedure: </w:t>
      </w:r>
      <w:r>
        <w:rPr>
          <w:color w:val="9CA3AF"/>
        </w:rPr>
        <w:t xml:space="preserve">[Sleeve gastrectomy / Roux-en-Y bypass / duodenal switch / band; primary or revision]</w:t>
      </w:r>
    </w:p>
    <w:p>
      <w:pPr>
        <w:spacing w:after="80"/>
      </w:pPr>
      <w:r>
        <w:rPr>
          <w:b/>
          <w:bCs/>
        </w:rPr>
        <w:t xml:space="preserve">Current BMI / Height / Weight: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Obesity-related comorbidities: </w:t>
      </w:r>
      <w:r>
        <w:rPr>
          <w:color w:val="9CA3AF"/>
        </w:rPr>
        <w:t xml:space="preserve">[Type 2 diabetes, hypertension, OSA, osteoarthritis, GERD, other]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Weight &amp; Dieting History</w:t>
      </w:r>
    </w:p>
    <w:p>
      <w:pPr>
        <w:spacing w:before="60"/>
      </w:pPr>
      <w:r>
        <w:rPr>
          <w:b/>
          <w:bCs/>
        </w:rPr>
        <w:t xml:space="preserve">Weight history</w:t>
      </w:r>
    </w:p>
    <w:p>
      <w:pPr>
        <w:spacing w:after="120"/>
      </w:pPr>
      <w:r>
        <w:rPr>
          <w:color w:val="9CA3AF"/>
        </w:rPr>
        <w:t xml:space="preserve">[Onset of overweight/obesity, maximum/minimum adult weights, perceived contributors, all significant weight-loss attempts and outcomes, weight-cycling pattern, family history of obesity/bariatric surgery]</w:t>
      </w:r>
    </w:p>
    <w:p>
      <w:pPr>
        <w:pStyle w:val="Heading2"/>
        <w:spacing w:before="200"/>
      </w:pPr>
      <w:r>
        <w:t xml:space="preserve">Eating Behavior Assessment</w:t>
      </w:r>
    </w:p>
    <w:p>
      <w:pPr>
        <w:spacing w:before="60"/>
      </w:pPr>
      <w:r>
        <w:rPr>
          <w:b/>
          <w:bCs/>
        </w:rPr>
        <w:t xml:space="preserve">Eating behaviors</w:t>
      </w:r>
    </w:p>
    <w:p>
      <w:pPr>
        <w:spacing w:after="120"/>
      </w:pPr>
      <w:r>
        <w:rPr>
          <w:color w:val="9CA3AF"/>
        </w:rPr>
        <w:t xml:space="preserve">[Binge eating (frequency, loss of control, distress — use BES/EDE-Q), emotional eating, grazing, night eating, purging/compensatory behaviors, diet quality, eating-disorder history]</w:t>
      </w:r>
    </w:p>
    <w:p>
      <w:pPr>
        <w:pStyle w:val="Heading2"/>
        <w:spacing w:before="200"/>
      </w:pPr>
      <w:r>
        <w:t xml:space="preserve">Psychiatric History &amp; Current Functioning</w:t>
      </w:r>
    </w:p>
    <w:p>
      <w:pPr>
        <w:spacing w:before="60"/>
      </w:pPr>
      <w:r>
        <w:rPr>
          <w:b/>
          <w:bCs/>
        </w:rPr>
        <w:t xml:space="preserve">Psychiatric history</w:t>
      </w:r>
    </w:p>
    <w:p>
      <w:pPr>
        <w:spacing w:after="120"/>
      </w:pPr>
      <w:r>
        <w:rPr>
          <w:color w:val="9CA3AF"/>
        </w:rPr>
        <w:t xml:space="preserve">[Current/lifetime diagnoses, medications and adherence, hospitalizations, suicidal ideation/self-harm history, trauma history, current therapy engagement]</w:t>
      </w:r>
    </w:p>
    <w:p>
      <w:pPr>
        <w:spacing w:after="80"/>
      </w:pPr>
      <w:r>
        <w:rPr>
          <w:b/>
          <w:bCs/>
        </w:rPr>
        <w:t xml:space="preserve">Screening measure scores: </w:t>
      </w:r>
      <w:r>
        <w:rPr>
          <w:color w:val="9CA3AF"/>
        </w:rPr>
        <w:t xml:space="preserve">[PHQ-9 = __ ; GAD-7 = __ ; BES = __ ; AUDIT = __ ; DAST-10 = __ ]</w:t>
      </w:r>
    </w:p>
    <w:p>
      <w:pPr>
        <w:pStyle w:val="Heading2"/>
        <w:spacing w:before="200"/>
      </w:pPr>
      <w:r>
        <w:t xml:space="preserve">Substance Use</w:t>
      </w:r>
    </w:p>
    <w:p>
      <w:pPr>
        <w:spacing w:before="60"/>
      </w:pPr>
      <w:r>
        <w:rPr>
          <w:b/>
          <w:bCs/>
        </w:rPr>
        <w:t xml:space="preserve">Substance use</w:t>
      </w:r>
    </w:p>
    <w:p>
      <w:pPr>
        <w:spacing w:after="120"/>
      </w:pPr>
      <w:r>
        <w:rPr>
          <w:color w:val="9CA3AF"/>
        </w:rPr>
        <w:t xml:space="preserve">[Alcohol pattern, drugs, tobacco/nicotine, prescription misuse, family addiction history; document psychoeducation on post-surgical transfer-addiction risk and altered alcohol metabolism]</w:t>
      </w:r>
    </w:p>
    <w:p>
      <w:pPr>
        <w:pStyle w:val="Heading2"/>
        <w:spacing w:before="200"/>
      </w:pPr>
      <w:r>
        <w:t xml:space="preserve">Coping Skills &amp; Emotional Regulation</w:t>
      </w:r>
    </w:p>
    <w:p>
      <w:pPr>
        <w:spacing w:before="60"/>
      </w:pPr>
      <w:r>
        <w:rPr>
          <w:b/>
          <w:bCs/>
        </w:rPr>
        <w:t xml:space="preserve">Coping</w:t>
      </w:r>
    </w:p>
    <w:p>
      <w:pPr>
        <w:spacing w:after="120"/>
      </w:pPr>
      <w:r>
        <w:rPr>
          <w:color w:val="9CA3AF"/>
        </w:rPr>
        <w:t xml:space="preserve">[Degree to which food is the primary emotional-regulation strategy; existing non-food coping; self-monitoring capacity; distress tolerance]</w:t>
      </w:r>
    </w:p>
    <w:p>
      <w:pPr>
        <w:pStyle w:val="Heading2"/>
        <w:spacing w:before="200"/>
      </w:pPr>
      <w:r>
        <w:t xml:space="preserve">Social Support &amp; Living Environment</w:t>
      </w:r>
    </w:p>
    <w:p>
      <w:pPr>
        <w:spacing w:before="60"/>
      </w:pPr>
      <w:r>
        <w:rPr>
          <w:b/>
          <w:bCs/>
        </w:rPr>
        <w:t xml:space="preserve">Support system</w:t>
      </w:r>
    </w:p>
    <w:p>
      <w:pPr>
        <w:spacing w:after="120"/>
      </w:pPr>
      <w:r>
        <w:rPr>
          <w:color w:val="9CA3AF"/>
        </w:rPr>
        <w:t xml:space="preserve">[Household composition, partner/family attitudes toward surgery, willingness to support dietary changes, employment/leave, financial and insurance factors]</w:t>
      </w:r>
    </w:p>
    <w:p>
      <w:pPr>
        <w:pStyle w:val="Heading2"/>
        <w:spacing w:before="200"/>
      </w:pPr>
      <w:r>
        <w:t xml:space="preserve">Surgical Knowledge, Motivation &amp; Expectations</w:t>
      </w:r>
    </w:p>
    <w:p>
      <w:pPr>
        <w:spacing w:before="60"/>
      </w:pPr>
      <w:r>
        <w:rPr>
          <w:b/>
          <w:bCs/>
        </w:rPr>
        <w:t xml:space="preserve">Knowledge &amp; expectations</w:t>
      </w:r>
    </w:p>
    <w:p>
      <w:pPr>
        <w:spacing w:after="120"/>
      </w:pPr>
      <w:r>
        <w:rPr>
          <w:color w:val="9CA3AF"/>
        </w:rPr>
        <w:t xml:space="preserve">[Patient's own explanation of the procedure, risks, dietary progression, lifelong supplementation; expected weight loss vs. realistic norms; internal vs. external motivation; what the patient expects will and will not change]</w:t>
      </w:r>
    </w:p>
    <w:p>
      <w:pPr>
        <w:pStyle w:val="Heading2"/>
        <w:spacing w:before="200"/>
      </w:pPr>
      <w:r>
        <w:t xml:space="preserve">Mental Status Examination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behavior, speech, mood/affect, thought process/content, perception, cognition, insight, judgment; SI/HI status]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Recommendation</w:t>
      </w:r>
    </w:p>
    <w:p>
      <w:pPr>
        <w:spacing w:after="80"/>
      </w:pPr>
      <w:r>
        <w:rPr>
          <w:b/>
          <w:bCs/>
        </w:rPr>
        <w:t xml:space="preserve">Surgical readiness determination: </w:t>
      </w:r>
      <w:r>
        <w:rPr>
          <w:color w:val="9CA3AF"/>
        </w:rPr>
        <w:t xml:space="preserve">[Approved without reservations / Approved with recommendations / Delay recommended (specify goals, timeline, re-evaluation criteria) / Not recommended at this time]</w:t>
      </w:r>
    </w:p>
    <w:p>
      <w:pPr>
        <w:spacing w:before="60"/>
      </w:pPr>
      <w:r>
        <w:rPr>
          <w:b/>
          <w:bCs/>
        </w:rPr>
        <w:t xml:space="preserve">Pre-surgical recommendations</w:t>
      </w:r>
    </w:p>
    <w:p>
      <w:pPr>
        <w:spacing w:after="120"/>
      </w:pPr>
      <w:r>
        <w:rPr>
          <w:color w:val="9CA3AF"/>
        </w:rPr>
        <w:t xml:space="preserve">[Targeted interventions with modality, number of sessions, and treatment goals — e.g., CBT for binge eating, coping-without-food plan, medication optimization, partner involvement]</w:t>
      </w:r>
    </w:p>
    <w:p>
      <w:pPr>
        <w:spacing w:before="60"/>
      </w:pPr>
      <w:r>
        <w:rPr>
          <w:b/>
          <w:bCs/>
        </w:rPr>
        <w:t xml:space="preserve">Post-surgical recommendations</w:t>
      </w:r>
    </w:p>
    <w:p>
      <w:pPr>
        <w:spacing w:after="120"/>
      </w:pPr>
      <w:r>
        <w:rPr>
          <w:color w:val="9CA3AF"/>
        </w:rPr>
        <w:t xml:space="preserve">[Follow-up therapy, support group, transfer-addiction monitoring window, re-screening of loss-of-control eating, activity plan]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bariatric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Bariatric Pre-Surgical Psychological Evaluation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