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Biopsychosocial Case Formulation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clinicaldocslibrary.com/assessment-reports/biopsychosocial-formulation/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Presenting problem / working diagnosis (ICD-10):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A formulation explains mechanism — why this person, these symptoms, now. List only clinically relevant factors, then integrate them; consider crossing these domains with the 4 Ps.</w:t>
      </w:r>
    </w:p>
    <w:p>
      <w:pPr>
        <w:pStyle w:val="Heading2"/>
        <w:spacing w:before="200"/>
      </w:pPr>
      <w:r>
        <w:t xml:space="preserve">Biological Factors</w:t>
      </w:r>
    </w:p>
    <w:p>
      <w:pPr>
        <w:spacing w:before="60"/>
      </w:pPr>
      <w:r>
        <w:rPr>
          <w:b/>
          <w:bCs/>
        </w:rPr>
        <w:t xml:space="preserve">Biological</w:t>
      </w:r>
    </w:p>
    <w:p>
      <w:pPr>
        <w:spacing w:after="120"/>
      </w:pPr>
      <w:r>
        <w:rPr>
          <w:color w:val="9CA3AF"/>
        </w:rPr>
        <w:t xml:space="preserve">[Genetic/family psychiatric history, medical conditions, medications, substance use, sleep, pain, physical health behaviors — and how each contributes to the clinical picture]</w:t>
      </w:r>
    </w:p>
    <w:p>
      <w:pPr>
        <w:pStyle w:val="Heading2"/>
        <w:spacing w:before="200"/>
      </w:pPr>
      <w:r>
        <w:t xml:space="preserve">Psychological Factors</w:t>
      </w:r>
    </w:p>
    <w:p>
      <w:pPr>
        <w:spacing w:before="60"/>
      </w:pPr>
      <w:r>
        <w:rPr>
          <w:b/>
          <w:bCs/>
        </w:rPr>
        <w:t xml:space="preserve">Psychological</w:t>
      </w:r>
    </w:p>
    <w:p>
      <w:pPr>
        <w:spacing w:after="120"/>
      </w:pPr>
      <w:r>
        <w:rPr>
          <w:color w:val="9CA3AF"/>
        </w:rPr>
        <w:t xml:space="preserve">[Cognitive patterns and core beliefs, emotional regulation, coping repertoire, personality/temperament, trauma and adversity, self-concept, attachment style — with clinical relevance]</w:t>
      </w:r>
    </w:p>
    <w:p>
      <w:pPr>
        <w:pStyle w:val="Heading2"/>
        <w:spacing w:before="200"/>
      </w:pPr>
      <w:r>
        <w:t xml:space="preserve">Social Factors</w:t>
      </w:r>
    </w:p>
    <w:p>
      <w:pPr>
        <w:spacing w:before="60"/>
      </w:pPr>
      <w:r>
        <w:rPr>
          <w:b/>
          <w:bCs/>
        </w:rPr>
        <w:t xml:space="preserve">Social</w:t>
      </w:r>
    </w:p>
    <w:p>
      <w:pPr>
        <w:spacing w:after="120"/>
      </w:pPr>
      <w:r>
        <w:rPr>
          <w:color w:val="9CA3AF"/>
        </w:rPr>
        <w:t xml:space="preserve">[Relationships and support, family system, employment/education, socioeconomic stressors, cultural and identity factors, legal involvement, community and environment]</w:t>
      </w:r>
    </w:p>
    <w:p>
      <w:pPr>
        <w:pStyle w:val="Heading2"/>
        <w:spacing w:before="200"/>
      </w:pPr>
      <w:r>
        <w:t xml:space="preserve">Integrated Formulation</w:t>
      </w:r>
    </w:p>
    <w:p>
      <w:pPr>
        <w:spacing w:before="60"/>
      </w:pPr>
      <w:r>
        <w:rPr>
          <w:b/>
          <w:bCs/>
        </w:rPr>
        <w:t xml:space="preserve">Integration</w:t>
      </w:r>
    </w:p>
    <w:p>
      <w:pPr>
        <w:spacing w:after="120"/>
      </w:pPr>
      <w:r>
        <w:rPr>
          <w:color w:val="9CA3AF"/>
        </w:rPr>
        <w:t xml:space="preserve">[Narrative explanation of how factors across domains interact and reinforce one another to produce and maintain the presenting problem — identify the feedback loops, not just the lists]</w:t>
      </w:r>
    </w:p>
    <w:p>
      <w:pPr>
        <w:pStyle w:val="Heading2"/>
        <w:spacing w:before="200"/>
      </w:pPr>
      <w:r>
        <w:t xml:space="preserve">Protective Factors &amp; Strengths</w:t>
      </w:r>
    </w:p>
    <w:p>
      <w:pPr>
        <w:spacing w:before="60"/>
      </w:pPr>
      <w:r>
        <w:rPr>
          <w:b/>
          <w:bCs/>
        </w:rPr>
        <w:t xml:space="preserve">Protective factors</w:t>
      </w:r>
    </w:p>
    <w:p>
      <w:pPr>
        <w:spacing w:after="120"/>
      </w:pPr>
      <w:r>
        <w:rPr>
          <w:color w:val="9CA3AF"/>
        </w:rPr>
        <w:t xml:space="preserve">[Strengths, resources, and resilience factors treatment can build on]</w:t>
      </w:r>
    </w:p>
    <w:p>
      <w:pPr>
        <w:pStyle w:val="Heading2"/>
        <w:spacing w:before="200"/>
      </w:pPr>
      <w:r>
        <w:t xml:space="preserve">Treatment Recommendations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[Each recommendation traceable to a specific factor or interaction in the formulation; include measures and reassessment interval]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biopsychosocial-formul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Biopsychosocial Case Formulation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