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Capacity Evaluation Report (Civil / Medical Decision-Making)</w:t>
      </w:r>
    </w:p>
    <w:p>
      <w:r>
        <w:rPr>
          <w:i/>
          <w:iCs/>
          <w:color w:val="2563EB"/>
        </w:rPr>
        <w:t xml:space="preserve">clinicaldocslibrary.com</w:t>
      </w:r>
    </w:p>
    <w:p>
      <w:pPr>
        <w:spacing w:after="160"/>
      </w:pPr>
      <w:hyperlink w:history="1" r:id="rIdCdlLink1">
        <w:r>
          <w:rPr>
            <w:rStyle w:val="Hyperlink"/>
          </w:rPr>
          <w:t xml:space="preserve">Prefer to fill this in with AI assistance? Open this template pre-loaded in My Clinical Writer →</w:t>
        </w:r>
      </w:hyperlink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Fillable template — replace all [bracketed] text with client-specific information and delete prompts you do not need. Documentation guidance and a worked example: clinicaldocslibrary.com/assessment-reports/capacity-evaluation/</w:t>
      </w:r>
    </w:p>
    <w:p>
      <w:pPr>
        <w:spacing w:after="80"/>
      </w:pPr>
      <w:r>
        <w:rPr>
          <w:b/>
          <w:bCs/>
        </w:rPr>
        <w:t xml:space="preserve">Client / ID: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Date(s) of Evaluation: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Date of Report: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Referral Source: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Evaluator / Credentials: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Setting: </w:t>
      </w:r>
      <w:r>
        <w:rPr>
          <w:color w:val="9CA3AF"/>
        </w:rPr>
        <w:t xml:space="preserve">[Inpatient bedside consult / outpatient / long-term care / forensic (guardianship)]</w:t>
      </w:r>
    </w:p>
    <w:p>
      <w:pPr>
        <w:pStyle w:val="Heading2"/>
        <w:spacing w:before="200"/>
      </w:pPr>
      <w:r>
        <w:t xml:space="preserve">Referral Question &amp; Decision at Issue</w:t>
      </w:r>
    </w:p>
    <w:p>
      <w:pPr>
        <w:spacing w:before="60"/>
      </w:pPr>
      <w:r>
        <w:rPr>
          <w:b/>
          <w:bCs/>
        </w:rPr>
        <w:t xml:space="preserve">Specific capacity assessed</w:t>
      </w:r>
    </w:p>
    <w:p>
      <w:pPr>
        <w:spacing w:after="120"/>
      </w:pPr>
      <w:r>
        <w:rPr>
          <w:color w:val="9CA3AF"/>
        </w:rPr>
        <w:t xml:space="preserve">[Name the exact decision or task — e.g., capacity to consent to or refuse (named treatment); capacity to manage finances; capacity to live independently. Do not assess 'global capacity']</w:t>
      </w:r>
    </w:p>
    <w:p>
      <w:pPr>
        <w:spacing w:after="80"/>
      </w:pPr>
      <w:r>
        <w:rPr>
          <w:b/>
          <w:bCs/>
        </w:rPr>
        <w:t xml:space="preserve">Referral source and reason for referral now: </w:t>
      </w:r>
      <w:r>
        <w:rPr>
          <w:color w:val="9CA3AF"/>
        </w:rPr>
        <w:t xml:space="preserve">[ ____________________________________ ]</w:t>
      </w:r>
    </w:p>
    <w:p>
      <w:pPr>
        <w:pStyle w:val="Heading2"/>
        <w:spacing w:before="200"/>
      </w:pPr>
      <w:r>
        <w:t xml:space="preserve">Notification &amp; Consent to Evaluation</w:t>
      </w:r>
    </w:p>
    <w:p>
      <w:pPr>
        <w:spacing w:before="60"/>
      </w:pPr>
      <w:r>
        <w:rPr>
          <w:b/>
          <w:bCs/>
        </w:rPr>
        <w:t xml:space="preserve">Notification</w:t>
      </w:r>
    </w:p>
    <w:p>
      <w:pPr>
        <w:spacing w:after="120"/>
      </w:pPr>
      <w:r>
        <w:rPr>
          <w:color w:val="9CA3AF"/>
        </w:rPr>
        <w:t xml:space="preserve">[Purpose of the evaluation explained in plain language; who will receive the report; person's response and apparent understanding; assent or objection documented. For guardianship referrals, use full forensic notification including non-confidentiality]</w:t>
      </w:r>
    </w:p>
    <w:p>
      <w:pPr>
        <w:pStyle w:val="Heading2"/>
        <w:spacing w:before="200"/>
      </w:pPr>
      <w:r>
        <w:t xml:space="preserve">Sources of Information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[Interview date(s) and duration]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[Records reviewed — medical chart, prior cognitive/capacity assessments, labs/imaging relevant to reversible causes]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[Collateral contacts — family, treating providers, nursing/care staff]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[Instruments administered — e.g., MoCA / MacCAT-T / ACE / mood screen]</w:t>
      </w:r>
    </w:p>
    <w:p>
      <w:pPr>
        <w:pStyle w:val="Heading2"/>
        <w:spacing w:before="200"/>
      </w:pPr>
      <w:r>
        <w:t xml:space="preserve">Relevant History</w:t>
      </w:r>
    </w:p>
    <w:p>
      <w:pPr>
        <w:spacing w:before="60"/>
      </w:pPr>
      <w:r>
        <w:rPr>
          <w:b/>
          <w:bCs/>
        </w:rPr>
        <w:t xml:space="preserve">History</w:t>
      </w:r>
    </w:p>
    <w:p>
      <w:pPr>
        <w:spacing w:after="120"/>
      </w:pPr>
      <w:r>
        <w:rPr>
          <w:color w:val="9CA3AF"/>
        </w:rPr>
        <w:t xml:space="preserve">[Neurocognitive and psychiatric diagnoses and trajectory; current medications (sedatives, opioids, anticholinergics); sensory impairments; substance use; education, literacy, primary language; baseline functioning; potentially reversible contributors — delirium, depression, metabolic disturbance]</w:t>
      </w:r>
    </w:p>
    <w:p>
      <w:pPr>
        <w:pStyle w:val="Heading2"/>
        <w:spacing w:before="200"/>
      </w:pPr>
      <w:r>
        <w:t xml:space="preserve">Mental Status &amp; Cognitive Screening</w:t>
      </w:r>
    </w:p>
    <w:p>
      <w:pPr>
        <w:spacing w:before="60"/>
      </w:pPr>
      <w:r>
        <w:rPr>
          <w:b/>
          <w:bCs/>
        </w:rPr>
        <w:t xml:space="preserve">Mental status</w:t>
      </w:r>
    </w:p>
    <w:p>
      <w:pPr>
        <w:spacing w:after="120"/>
      </w:pPr>
      <w:r>
        <w:rPr>
          <w:color w:val="9CA3AF"/>
        </w:rPr>
        <w:t xml:space="preserve">[Current MSE — alertness, orientation, mood/affect, thought process and content, delirium screening result]</w:t>
      </w:r>
    </w:p>
    <w:p>
      <w:pPr>
        <w:spacing w:after="80"/>
      </w:pPr>
      <w:r>
        <w:rPr>
          <w:b/>
          <w:bCs/>
        </w:rPr>
        <w:t xml:space="preserve">Cognitive screening / testing results: </w:t>
      </w:r>
      <w:r>
        <w:rPr>
          <w:color w:val="9CA3AF"/>
        </w:rPr>
        <w:t xml:space="preserve">[Instrument, score, domains affected — report as context, not as the capacity determination]</w:t>
      </w:r>
    </w:p>
    <w:p>
      <w:pPr>
        <w:pStyle w:val="Heading2"/>
        <w:spacing w:before="200"/>
      </w:pPr>
      <w:r>
        <w:t xml:space="preserve">Adequacy of Disclosure</w:t>
      </w:r>
    </w:p>
    <w:p>
      <w:pPr>
        <w:spacing w:before="60"/>
      </w:pPr>
      <w:r>
        <w:rPr>
          <w:b/>
          <w:bCs/>
        </w:rPr>
        <w:t xml:space="preserve">Disclosure verified</w:t>
      </w:r>
    </w:p>
    <w:p>
      <w:pPr>
        <w:spacing w:after="120"/>
      </w:pPr>
      <w:r>
        <w:rPr>
          <w:color w:val="9CA3AF"/>
        </w:rPr>
        <w:t xml:space="preserve">[What information the person was actually given about the decision, by whom, in what format/language; accommodations provided — written summary, interpreter, hearing aids]</w:t>
      </w:r>
    </w:p>
    <w:p>
      <w:pPr>
        <w:pStyle w:val="Heading2"/>
        <w:spacing w:before="200"/>
      </w:pPr>
      <w:r>
        <w:t xml:space="preserve">Decision-Specific Assessment — Four Abilities</w:t>
      </w:r>
    </w:p>
    <w:p>
      <w:pPr>
        <w:spacing w:before="60"/>
      </w:pPr>
      <w:r>
        <w:rPr>
          <w:b/>
          <w:bCs/>
        </w:rPr>
        <w:t xml:space="preserve">Understanding</w:t>
      </w:r>
    </w:p>
    <w:p>
      <w:pPr>
        <w:spacing w:after="120"/>
      </w:pPr>
      <w:r>
        <w:rPr>
          <w:color w:val="9CA3AF"/>
        </w:rPr>
        <w:t xml:space="preserve">[Person's paraphrase of condition, proposed option(s), risks, benefits, alternatives, and consequence of no treatment — quote their own words; note use of supports]</w:t>
      </w:r>
    </w:p>
    <w:p>
      <w:pPr>
        <w:spacing w:before="60"/>
      </w:pPr>
      <w:r>
        <w:rPr>
          <w:b/>
          <w:bCs/>
        </w:rPr>
        <w:t xml:space="preserve">Appreciation</w:t>
      </w:r>
    </w:p>
    <w:p>
      <w:pPr>
        <w:spacing w:after="120"/>
      </w:pPr>
      <w:r>
        <w:rPr>
          <w:color w:val="9CA3AF"/>
        </w:rPr>
        <w:t xml:space="preserve">[Whether the person accepts the information applies to them; probe beliefs about diagnosis and personal consequences; distinguish delusion/anosognosia from values-based disagreement]</w:t>
      </w:r>
    </w:p>
    <w:p>
      <w:pPr>
        <w:spacing w:before="60"/>
      </w:pPr>
      <w:r>
        <w:rPr>
          <w:b/>
          <w:bCs/>
        </w:rPr>
        <w:t xml:space="preserve">Reasoning</w:t>
      </w:r>
    </w:p>
    <w:p>
      <w:pPr>
        <w:spacing w:after="120"/>
      </w:pPr>
      <w:r>
        <w:rPr>
          <w:color w:val="9CA3AF"/>
        </w:rPr>
        <w:t xml:space="preserve">[How the person compares options and connects consequences to their choice; consistency with their own stated values; corroboration from collateral history]</w:t>
      </w:r>
    </w:p>
    <w:p>
      <w:pPr>
        <w:spacing w:before="60"/>
      </w:pPr>
      <w:r>
        <w:rPr>
          <w:b/>
          <w:bCs/>
        </w:rPr>
        <w:t xml:space="preserve">Expressing a choice</w:t>
      </w:r>
    </w:p>
    <w:p>
      <w:pPr>
        <w:spacing w:after="120"/>
      </w:pPr>
      <w:r>
        <w:rPr>
          <w:color w:val="9CA3AF"/>
        </w:rPr>
        <w:t xml:space="preserve">[Clarity and stability of the stated choice across the interview and over days; communication accommodations used]</w:t>
      </w:r>
    </w:p>
    <w:p>
      <w:pPr>
        <w:pStyle w:val="Heading2"/>
        <w:spacing w:before="200"/>
      </w:pPr>
      <w:r>
        <w:t xml:space="preserve">Functional / Task-Specific Evidence (if applicable)</w:t>
      </w:r>
    </w:p>
    <w:p>
      <w:pPr>
        <w:spacing w:before="60"/>
      </w:pPr>
      <w:r>
        <w:rPr>
          <w:b/>
          <w:bCs/>
        </w:rPr>
        <w:t xml:space="preserve">Functional evidence</w:t>
      </w:r>
    </w:p>
    <w:p>
      <w:pPr>
        <w:spacing w:after="120"/>
      </w:pPr>
      <w:r>
        <w:rPr>
          <w:color w:val="9CA3AF"/>
        </w:rPr>
        <w:t xml:space="preserve">[For financial/independent-living capacities: performance-based tasks, collateral reports of real-world functioning, documented incidents]</w:t>
      </w:r>
    </w:p>
    <w:p>
      <w:pPr>
        <w:pStyle w:val="Heading2"/>
        <w:spacing w:before="200"/>
      </w:pPr>
      <w:r>
        <w:t xml:space="preserve">Opinion</w:t>
      </w:r>
    </w:p>
    <w:p>
      <w:pPr>
        <w:spacing w:after="120"/>
      </w:pPr>
      <w:r>
        <w:rPr>
          <w:color w:val="9CA3AF"/>
        </w:rPr>
        <w:t xml:space="preserve">[Which abilities are intact/impaired with supporting evidence; clinical cause of any impairment; decision-specific and date-specific opinion; explicit statement of what the opinion does NOT cover]</w:t>
      </w:r>
    </w:p>
    <w:p>
      <w:pPr>
        <w:spacing w:after="80"/>
      </w:pPr>
      <w:r>
        <w:rPr>
          <w:b/>
          <w:bCs/>
        </w:rPr>
        <w:t xml:space="preserve">Reversibility / reassessment plan: </w:t>
      </w:r>
      <w:r>
        <w:rPr>
          <w:color w:val="9CA3AF"/>
        </w:rPr>
        <w:t xml:space="preserve">[Whether impairment is likely temporary; conditions and timeframe for reassessment]</w:t>
      </w:r>
    </w:p>
    <w:p>
      <w:pPr>
        <w:pStyle w:val="Heading2"/>
        <w:spacing w:before="200"/>
      </w:pPr>
      <w:r>
        <w:t xml:space="preserve">Recommendations</w:t>
      </w:r>
    </w:p>
    <w:p>
      <w:pPr>
        <w:spacing w:after="120"/>
      </w:pPr>
      <w:r>
        <w:rPr>
          <w:color w:val="9CA3AF"/>
        </w:rPr>
        <w:t xml:space="preserve">[Least restrictive path: supports for decision-making, treatment of reversible contributors, existing advance directive or health care agent, supported decision-making; guardianship referral only if supports are insufficient — map findings to jurisdictional standards if for court]</w:t>
      </w:r>
    </w:p>
    <w:p>
      <w:pPr>
        <w:spacing w:after="80"/>
      </w:pPr>
      <w:r>
        <w:rPr>
          <w:b/>
          <w:bCs/>
        </w:rPr>
        <w:t xml:space="preserve">Signature / Credentials / Date: </w:t>
      </w:r>
      <w:r>
        <w:rPr>
          <w:color w:val="9CA3AF"/>
        </w:rPr>
        <w:t xml:space="preserve">[ ____________________________________ ]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This template is a general documentation aid, not legal or clinical advice. Adapt to your setting, payer, and jurisdiction. Remove this line before clinical use.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dlLink1" Type="http://schemas.openxmlformats.org/officeDocument/2006/relationships/hyperlink" Target="https://myclinicalwriter.ai/app/smart_text?libTemplate=capacity-evaluation&amp;utm_source=clinicaldocslibrary&amp;utm_medium=referral&amp;utm_campaign=try_template&amp;utm_content=docx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Capacity Evaluation Report (Civil / Medical Decision-Making)</dc:title>
  <dc:creator>Clinical Documentation Library</dc:creator>
  <cp:lastModifiedBy>Un-named</cp:lastModifiedBy>
  <cp:revision>1</cp:revision>
  <dcterms:created xsi:type="dcterms:W3CDTF">2026-07-18T12:00:00.000Z</dcterms:created>
  <dcterms:modified xsi:type="dcterms:W3CDTF">2026-07-18T12:00:00.000Z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