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CBT Case Conceptualization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clinicaldocslibrary.com/assessment-reports/cbt-case-conceptualization/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Clinician: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Presenting problem / diagnosis (ICD-10):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Relevant Early Life Experiences</w:t>
      </w:r>
    </w:p>
    <w:p>
      <w:pPr>
        <w:spacing w:before="60"/>
      </w:pPr>
      <w:r>
        <w:rPr>
          <w:b/>
          <w:bCs/>
        </w:rPr>
        <w:t xml:space="preserve">Early experiences</w:t>
      </w:r>
    </w:p>
    <w:p>
      <w:pPr>
        <w:spacing w:after="120"/>
      </w:pPr>
      <w:r>
        <w:rPr>
          <w:color w:val="9CA3AF"/>
        </w:rPr>
        <w:t xml:space="preserve">[Formative experiences with caregivers, school, peers, and adverse events most relevant to how the client learned to see self, others, and the world]</w:t>
      </w:r>
    </w:p>
    <w:p>
      <w:pPr>
        <w:pStyle w:val="Heading2"/>
        <w:spacing w:before="200"/>
      </w:pPr>
      <w:r>
        <w:t xml:space="preserve">Core Beliefs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[Core belief 1 — global, unconditional self/other/world belief; note category: helplessness / unlovability / worthlessness]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[Core belief 2 — if present]</w:t>
      </w:r>
    </w:p>
    <w:p>
      <w:pPr>
        <w:pStyle w:val="Heading2"/>
        <w:spacing w:before="200"/>
      </w:pPr>
      <w:r>
        <w:t xml:space="preserve">Intermediate Beliefs</w:t>
      </w:r>
    </w:p>
    <w:p>
      <w:pPr>
        <w:spacing w:after="80"/>
      </w:pPr>
      <w:r>
        <w:rPr>
          <w:b/>
          <w:bCs/>
        </w:rPr>
        <w:t xml:space="preserve">Rule: </w:t>
      </w:r>
      <w:r>
        <w:rPr>
          <w:color w:val="9CA3AF"/>
        </w:rPr>
        <w:t xml:space="preserve">[“I must / should ...”]</w:t>
      </w:r>
    </w:p>
    <w:p>
      <w:pPr>
        <w:spacing w:after="80"/>
      </w:pPr>
      <w:r>
        <w:rPr>
          <w:b/>
          <w:bCs/>
        </w:rPr>
        <w:t xml:space="preserve">Attitude: </w:t>
      </w:r>
      <w:r>
        <w:rPr>
          <w:color w:val="9CA3AF"/>
        </w:rPr>
        <w:t xml:space="preserve">[“It is terrible to ...”]</w:t>
      </w:r>
    </w:p>
    <w:p>
      <w:pPr>
        <w:spacing w:after="80"/>
      </w:pPr>
      <w:r>
        <w:rPr>
          <w:b/>
          <w:bCs/>
        </w:rPr>
        <w:t xml:space="preserve">Assumption: </w:t>
      </w:r>
      <w:r>
        <w:rPr>
          <w:color w:val="9CA3AF"/>
        </w:rPr>
        <w:t xml:space="preserve">[“If ... then ...” — conditional belief flowing from the core belief]</w:t>
      </w:r>
    </w:p>
    <w:p>
      <w:pPr>
        <w:pStyle w:val="Heading2"/>
        <w:spacing w:before="200"/>
      </w:pPr>
      <w:r>
        <w:t xml:space="preserve">Compensatory Strategies</w:t>
      </w:r>
    </w:p>
    <w:p>
      <w:pPr>
        <w:spacing w:before="60"/>
      </w:pPr>
      <w:r>
        <w:rPr>
          <w:b/>
          <w:bCs/>
        </w:rPr>
        <w:t xml:space="preserve">Strategies</w:t>
      </w:r>
    </w:p>
    <w:p>
      <w:pPr>
        <w:spacing w:after="120"/>
      </w:pPr>
      <w:r>
        <w:rPr>
          <w:color w:val="9CA3AF"/>
        </w:rPr>
        <w:t xml:space="preserve">[Behavioral patterns used to cope with or avoid activating core beliefs (e.g., overworking, avoidance, reassurance-seeking) and how they prevent belief disconfirmation]</w:t>
      </w:r>
    </w:p>
    <w:p>
      <w:pPr>
        <w:pStyle w:val="Heading2"/>
        <w:spacing w:before="200"/>
      </w:pPr>
      <w:r>
        <w:t xml:space="preserve">Situation Analysis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Complete for at least three recent situations to establish the cross-situation pattern.</w:t>
      </w:r>
    </w:p>
    <w:p>
      <w:pPr>
        <w:spacing w:after="80"/>
      </w:pPr>
      <w:r>
        <w:rPr>
          <w:b/>
          <w:bCs/>
        </w:rPr>
        <w:t xml:space="preserve">Situation: </w:t>
      </w:r>
      <w:r>
        <w:rPr>
          <w:color w:val="9CA3AF"/>
        </w:rPr>
        <w:t xml:space="preserve">[Specific triggering event]</w:t>
      </w:r>
    </w:p>
    <w:p>
      <w:pPr>
        <w:spacing w:after="80"/>
      </w:pPr>
      <w:r>
        <w:rPr>
          <w:b/>
          <w:bCs/>
        </w:rPr>
        <w:t xml:space="preserve">Automatic thought: </w:t>
      </w:r>
      <w:r>
        <w:rPr>
          <w:color w:val="9CA3AF"/>
        </w:rPr>
        <w:t xml:space="preserve">[The rapid, situation-specific cognition]</w:t>
      </w:r>
    </w:p>
    <w:p>
      <w:pPr>
        <w:spacing w:after="80"/>
      </w:pPr>
      <w:r>
        <w:rPr>
          <w:b/>
          <w:bCs/>
        </w:rPr>
        <w:t xml:space="preserve">Meaning of the automatic thought: </w:t>
      </w:r>
      <w:r>
        <w:rPr>
          <w:color w:val="9CA3AF"/>
        </w:rPr>
        <w:t xml:space="preserve">[Which core belief it confirms]</w:t>
      </w:r>
    </w:p>
    <w:p>
      <w:pPr>
        <w:spacing w:after="80"/>
      </w:pPr>
      <w:r>
        <w:rPr>
          <w:b/>
          <w:bCs/>
        </w:rPr>
        <w:t xml:space="preserve">Emotion(s) and intensity: </w:t>
      </w:r>
      <w:r>
        <w:rPr>
          <w:color w:val="9CA3AF"/>
        </w:rPr>
        <w:t xml:space="preserve">[Emotion 0-10]</w:t>
      </w:r>
    </w:p>
    <w:p>
      <w:pPr>
        <w:spacing w:after="80"/>
      </w:pPr>
      <w:r>
        <w:rPr>
          <w:b/>
          <w:bCs/>
        </w:rPr>
        <w:t xml:space="preserve">Behavioral / physiological response: </w:t>
      </w:r>
      <w:r>
        <w:rPr>
          <w:color w:val="9CA3AF"/>
        </w:rPr>
        <w:t xml:space="preserve">[What the client did; bodily response]</w:t>
      </w:r>
    </w:p>
    <w:p>
      <w:pPr>
        <w:pStyle w:val="Heading2"/>
        <w:spacing w:before="200"/>
      </w:pPr>
      <w:r>
        <w:t xml:space="preserve">Cross-Cutting Pattern</w:t>
      </w:r>
    </w:p>
    <w:p>
      <w:pPr>
        <w:spacing w:before="60"/>
      </w:pPr>
      <w:r>
        <w:rPr>
          <w:b/>
          <w:bCs/>
        </w:rPr>
        <w:t xml:space="preserve">Pattern</w:t>
      </w:r>
    </w:p>
    <w:p>
      <w:pPr>
        <w:spacing w:after="120"/>
      </w:pPr>
      <w:r>
        <w:rPr>
          <w:color w:val="9CA3AF"/>
        </w:rPr>
        <w:t xml:space="preserve">[Recurring themes across situations; how compensatory strategies reduce distress short-term but maintain the beliefs; what precipitated the current episode]</w:t>
      </w:r>
    </w:p>
    <w:p>
      <w:pPr>
        <w:pStyle w:val="Heading2"/>
        <w:spacing w:before="200"/>
      </w:pPr>
      <w:r>
        <w:t xml:space="preserve">Treatment Implications</w:t>
      </w:r>
    </w:p>
    <w:p>
      <w:pPr>
        <w:spacing w:before="60"/>
      </w:pPr>
      <w:r>
        <w:rPr>
          <w:b/>
          <w:bCs/>
        </w:rPr>
        <w:t xml:space="preserve">Treatment plan</w:t>
      </w:r>
    </w:p>
    <w:p>
      <w:pPr>
        <w:spacing w:after="120"/>
      </w:pPr>
      <w:r>
        <w:rPr>
          <w:color w:val="9CA3AF"/>
        </w:rPr>
        <w:t xml:space="preserve">[Which cognitive level to target first, prominent distortions, planned behavioral experiments and schema-level work; share the conceptualization collaboratively and update it as data emerges]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cbt-case-conceptualizatio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CBT Case Conceptualization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