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Child Behavioral/Emotional Assessment Report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clinicaldocslibrary.com/assessment-reports/child-behavioral-assessment/</w:t>
      </w:r>
    </w:p>
    <w:p>
      <w:pPr>
        <w:spacing w:after="80"/>
      </w:pPr>
      <w:r>
        <w:rPr>
          <w:b/>
          <w:bCs/>
        </w:rPr>
        <w:t xml:space="preserve">Client / ID: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Date(s) of Evaluation: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Date of Report: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Referral Source: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Evaluator / Credentials: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Grade / School: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Reason for Referral</w:t>
      </w:r>
    </w:p>
    <w:p>
      <w:pPr>
        <w:spacing w:before="60"/>
      </w:pPr>
      <w:r>
        <w:rPr>
          <w:b/>
          <w:bCs/>
        </w:rPr>
        <w:t xml:space="preserve">Referral concerns</w:t>
      </w:r>
    </w:p>
    <w:p>
      <w:pPr>
        <w:spacing w:after="120"/>
      </w:pPr>
      <w:r>
        <w:rPr>
          <w:color w:val="9CA3AF"/>
        </w:rPr>
        <w:t xml:space="preserve">[Presenting concerns from each informant (parent, teacher, child), specific behaviors, onset/duration, settings, prior interventions, explicit referral questions]</w:t>
      </w:r>
    </w:p>
    <w:p>
      <w:pPr>
        <w:pStyle w:val="Heading2"/>
        <w:spacing w:before="200"/>
      </w:pPr>
      <w:r>
        <w:t xml:space="preserve">Developmental &amp; Family History</w:t>
      </w:r>
    </w:p>
    <w:p>
      <w:pPr>
        <w:spacing w:before="60"/>
      </w:pPr>
      <w:r>
        <w:rPr>
          <w:b/>
          <w:bCs/>
        </w:rPr>
        <w:t xml:space="preserve">History</w:t>
      </w:r>
    </w:p>
    <w:p>
      <w:pPr>
        <w:spacing w:after="120"/>
      </w:pPr>
      <w:r>
        <w:rPr>
          <w:color w:val="9CA3AF"/>
        </w:rPr>
        <w:t xml:space="preserve">[Prenatal/birth, milestones, temperament, family composition and stressors, family psychiatric history, trauma/ACEs, medical history, sleep, medications]</w:t>
      </w:r>
    </w:p>
    <w:p>
      <w:pPr>
        <w:pStyle w:val="Heading2"/>
        <w:spacing w:before="200"/>
      </w:pPr>
      <w:r>
        <w:t xml:space="preserve">Educational History</w:t>
      </w:r>
    </w:p>
    <w:p>
      <w:pPr>
        <w:spacing w:before="60"/>
      </w:pPr>
      <w:r>
        <w:rPr>
          <w:b/>
          <w:bCs/>
        </w:rPr>
        <w:t xml:space="preserve">Educational history</w:t>
      </w:r>
    </w:p>
    <w:p>
      <w:pPr>
        <w:spacing w:after="120"/>
      </w:pPr>
      <w:r>
        <w:rPr>
          <w:color w:val="9CA3AF"/>
        </w:rPr>
        <w:t xml:space="preserve">[Grade placement, academic performance, disciplinary history, peer/teacher relationships, prior school interventions (MTSS, 504, IEP)]</w:t>
      </w:r>
    </w:p>
    <w:p>
      <w:pPr>
        <w:pStyle w:val="Heading2"/>
        <w:spacing w:before="200"/>
      </w:pPr>
      <w:r>
        <w:t xml:space="preserve">Behavioral Observations</w:t>
      </w:r>
    </w:p>
    <w:p>
      <w:pPr>
        <w:spacing w:before="60"/>
      </w:pPr>
      <w:r>
        <w:rPr>
          <w:b/>
          <w:bCs/>
        </w:rPr>
        <w:t xml:space="preserve">Observations</w:t>
      </w:r>
    </w:p>
    <w:p>
      <w:pPr>
        <w:spacing w:after="120"/>
      </w:pPr>
      <w:r>
        <w:rPr>
          <w:color w:val="9CA3AF"/>
        </w:rPr>
        <w:t xml:space="preserve">[Attention, activity level, compliance, frustration tolerance, social reciprocity, emotional reactions, response to challenge vs. developmental expectations]</w:t>
      </w:r>
    </w:p>
    <w:p>
      <w:pPr>
        <w:pStyle w:val="Heading2"/>
        <w:spacing w:before="200"/>
      </w:pPr>
      <w:r>
        <w:t xml:space="preserve">Instruments Administered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[Broadband rating scales across informants — e.g., BASC-3 or CBCL: parent, teacher, self-report]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[Narrowband measures per referral question — e.g., Conners 4 (ADHD), RCMAS-2/SCARED (anxiety), CDI-2 (depression)]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[Clinical interviews (parent, child), teacher questionnaire, records review]</w:t>
      </w:r>
    </w:p>
    <w:p>
      <w:pPr>
        <w:pStyle w:val="Heading2"/>
        <w:spacing w:before="200"/>
      </w:pPr>
      <w:r>
        <w:t xml:space="preserve">Rating Scale Results</w:t>
      </w:r>
    </w:p>
    <w:p>
      <w:pPr>
        <w:spacing w:before="60"/>
      </w:pPr>
      <w:r>
        <w:rPr>
          <w:b/>
          <w:bCs/>
        </w:rPr>
        <w:t xml:space="preserve">Results by informant</w:t>
      </w:r>
    </w:p>
    <w:p>
      <w:pPr>
        <w:spacing w:after="120"/>
      </w:pPr>
      <w:r>
        <w:rPr>
          <w:color w:val="9CA3AF"/>
        </w:rPr>
        <w:t xml:space="preserve">[T-scores, percentiles, and classifications per instrument and informant; check validity indices before interpreting]</w:t>
      </w:r>
    </w:p>
    <w:p>
      <w:pPr>
        <w:pStyle w:val="Heading2"/>
        <w:spacing w:before="200"/>
      </w:pPr>
      <w:r>
        <w:t xml:space="preserve">Cross-Informant Integration</w:t>
      </w:r>
    </w:p>
    <w:p>
      <w:pPr>
        <w:spacing w:before="60"/>
      </w:pPr>
      <w:r>
        <w:rPr>
          <w:b/>
          <w:bCs/>
        </w:rPr>
        <w:t xml:space="preserve">Integration by domain</w:t>
      </w:r>
    </w:p>
    <w:p>
      <w:pPr>
        <w:spacing w:after="120"/>
      </w:pPr>
      <w:r>
        <w:rPr>
          <w:color w:val="9CA3AF"/>
        </w:rPr>
        <w:t xml:space="preserve">[For each domain (attention/hyperactivity, anxiety, depression, aggression, adaptability, social skills): what each informant reports, where informants converge and diverge, and the clinical interpretation of setting-specific patterns]</w:t>
      </w:r>
    </w:p>
    <w:p>
      <w:pPr>
        <w:spacing w:after="80"/>
      </w:pPr>
      <w:r>
        <w:rPr>
          <w:b/>
          <w:bCs/>
        </w:rPr>
        <w:t xml:space="preserve">Risk: </w:t>
      </w:r>
      <w:r>
        <w:rPr>
          <w:color w:val="9CA3AF"/>
        </w:rPr>
        <w:t xml:space="preserve">[SI/self-harm screening result and action taken, or note not indicated]</w:t>
      </w:r>
    </w:p>
    <w:p>
      <w:pPr>
        <w:pStyle w:val="Heading2"/>
        <w:spacing w:before="200"/>
      </w:pPr>
      <w:r>
        <w:t xml:space="preserve">Diagnostic Impressions</w:t>
      </w:r>
    </w:p>
    <w:p>
      <w:pPr>
        <w:spacing w:before="60"/>
      </w:pPr>
      <w:r>
        <w:rPr>
          <w:b/>
          <w:bCs/>
        </w:rPr>
        <w:t xml:space="preserve">Diagnoses with criteria mapping</w:t>
      </w:r>
    </w:p>
    <w:p>
      <w:pPr>
        <w:spacing w:after="120"/>
      </w:pPr>
      <w:r>
        <w:rPr>
          <w:color w:val="9CA3AF"/>
        </w:rPr>
        <w:t xml:space="preserve">[Each DSM-5-TR diagnosis with symptoms present, onset, cross-situational evidence, impairment, and differential reasoning; note rule-outs to monitor]</w:t>
      </w:r>
    </w:p>
    <w:p>
      <w:pPr>
        <w:pStyle w:val="Heading2"/>
        <w:spacing w:before="200"/>
      </w:pPr>
      <w:r>
        <w:t xml:space="preserve">Recommendations</w:t>
      </w:r>
    </w:p>
    <w:p>
      <w:pPr>
        <w:spacing w:before="60"/>
      </w:pPr>
      <w:r>
        <w:rPr>
          <w:b/>
          <w:bCs/>
        </w:rPr>
        <w:t xml:space="preserve">School-based</w:t>
      </w:r>
    </w:p>
    <w:p>
      <w:pPr>
        <w:spacing w:after="120"/>
      </w:pPr>
      <w:r>
        <w:rPr>
          <w:color w:val="9CA3AF"/>
        </w:rPr>
        <w:t xml:space="preserve">[504/IEP pathway, specific accommodations, behavior plan elements (e.g., daily behavior report card), classroom regulation supports]</w:t>
      </w:r>
    </w:p>
    <w:p>
      <w:pPr>
        <w:spacing w:before="60"/>
      </w:pPr>
      <w:r>
        <w:rPr>
          <w:b/>
          <w:bCs/>
        </w:rPr>
        <w:t xml:space="preserve">Home-based</w:t>
      </w:r>
    </w:p>
    <w:p>
      <w:pPr>
        <w:spacing w:after="120"/>
      </w:pPr>
      <w:r>
        <w:rPr>
          <w:color w:val="9CA3AF"/>
        </w:rPr>
        <w:t xml:space="preserve">[Routines, behavior management strategies, sleep/worry interventions]</w:t>
      </w:r>
    </w:p>
    <w:p>
      <w:pPr>
        <w:spacing w:before="60"/>
      </w:pPr>
      <w:r>
        <w:rPr>
          <w:b/>
          <w:bCs/>
        </w:rPr>
        <w:t xml:space="preserve">Treatment &amp; follow-up</w:t>
      </w:r>
    </w:p>
    <w:p>
      <w:pPr>
        <w:spacing w:after="120"/>
      </w:pPr>
      <w:r>
        <w:rPr>
          <w:color w:val="9CA3AF"/>
        </w:rPr>
        <w:t xml:space="preserve">[Therapy referral with named evidence-based protocol, medication consultation if indicated, re-evaluation plan with repeat measures]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child-behavioral-assessment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 Behavioral/Emotional Assessment Report</dc:title>
  <dc:creator>Clinical Documentation Library</dc:creator>
  <cp:lastModifiedBy>Un-named</cp:lastModifiedBy>
  <cp:revision>1</cp:revision>
  <dcterms:created xsi:type="dcterms:W3CDTF">2026-03-20T12:00:00.000Z</dcterms:created>
  <dcterms:modified xsi:type="dcterms:W3CDTF">2026-03-20T12:00:00.000Z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