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Cognitive Assessment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clinicaldocslibrary.com/assessment-reports/cognitive-assessment/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Grade / School or Occupation: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Referral Question</w:t>
      </w:r>
    </w:p>
    <w:p>
      <w:pPr>
        <w:spacing w:before="60"/>
      </w:pPr>
      <w:r>
        <w:rPr>
          <w:b/>
          <w:bCs/>
        </w:rPr>
        <w:t xml:space="preserve">Referral question</w:t>
      </w:r>
    </w:p>
    <w:p>
      <w:pPr>
        <w:spacing w:after="120"/>
      </w:pPr>
      <w:r>
        <w:rPr>
          <w:color w:val="9CA3AF"/>
        </w:rPr>
        <w:t xml:space="preserve">[Purpose of testing — gifted eligibility, LD assessment, ID screening, baseline — and any score criteria that apply]</w:t>
      </w:r>
    </w:p>
    <w:p>
      <w:pPr>
        <w:pStyle w:val="Heading2"/>
        <w:spacing w:before="200"/>
      </w:pPr>
      <w:r>
        <w:t xml:space="preserve">Relevant Background</w:t>
      </w:r>
    </w:p>
    <w:p>
      <w:pPr>
        <w:spacing w:before="60"/>
      </w:pPr>
      <w:r>
        <w:rPr>
          <w:b/>
          <w:bCs/>
        </w:rPr>
        <w:t xml:space="preserve">Background</w:t>
      </w:r>
    </w:p>
    <w:p>
      <w:pPr>
        <w:spacing w:after="120"/>
      </w:pPr>
      <w:r>
        <w:rPr>
          <w:color w:val="9CA3AF"/>
        </w:rPr>
        <w:t xml:space="preserve">[Developmental, educational, medical, and family history relevant to cognitive functioning; prior testing and dates (practice effects)]</w:t>
      </w:r>
    </w:p>
    <w:p>
      <w:pPr>
        <w:pStyle w:val="Heading2"/>
        <w:spacing w:before="200"/>
      </w:pPr>
      <w:r>
        <w:t xml:space="preserve">Behavioral Observations</w:t>
      </w:r>
    </w:p>
    <w:p>
      <w:pPr>
        <w:spacing w:before="60"/>
      </w:pPr>
      <w:r>
        <w:rPr>
          <w:b/>
          <w:bCs/>
        </w:rPr>
        <w:t xml:space="preserve">Observations</w:t>
      </w:r>
    </w:p>
    <w:p>
      <w:pPr>
        <w:spacing w:after="120"/>
      </w:pPr>
      <w:r>
        <w:rPr>
          <w:color w:val="9CA3AF"/>
        </w:rPr>
        <w:t xml:space="preserve">[Effort, attention, rapport, anxiety, fatigue; statement on whether results are a valid estimate of current functioning]</w:t>
      </w:r>
    </w:p>
    <w:p>
      <w:pPr>
        <w:spacing w:after="80"/>
      </w:pPr>
      <w:r>
        <w:rPr>
          <w:b/>
          <w:bCs/>
        </w:rPr>
        <w:t xml:space="preserve">Test administered: </w:t>
      </w:r>
      <w:r>
        <w:rPr>
          <w:color w:val="9CA3AF"/>
        </w:rPr>
        <w:t xml:space="preserve">[Full name and edition — e.g., WISC-V / WAIS-IV / SB5]</w:t>
      </w:r>
    </w:p>
    <w:p>
      <w:pPr>
        <w:pStyle w:val="Heading2"/>
        <w:spacing w:before="200"/>
      </w:pPr>
      <w:r>
        <w:t xml:space="preserve">Results</w:t>
      </w:r>
    </w:p>
    <w:p>
      <w:pPr>
        <w:spacing w:before="60"/>
      </w:pPr>
      <w:r>
        <w:rPr>
          <w:b/>
          <w:bCs/>
        </w:rPr>
        <w:t xml:space="preserve">Score table</w:t>
      </w:r>
    </w:p>
    <w:p>
      <w:pPr>
        <w:spacing w:after="120"/>
      </w:pPr>
      <w:r>
        <w:rPr>
          <w:color w:val="9CA3AF"/>
        </w:rPr>
        <w:t xml:space="preserve">[FSIQ and each index score with 95% confidence interval, percentile, and descriptive classification; ancillary indices (GAI, CPI); subtest scores when clinically meaningful]</w:t>
      </w:r>
    </w:p>
    <w:p>
      <w:pPr>
        <w:pStyle w:val="Heading2"/>
        <w:spacing w:before="200"/>
      </w:pPr>
      <w:r>
        <w:t xml:space="preserve">Index Score Analysis</w:t>
      </w:r>
    </w:p>
    <w:p>
      <w:pPr>
        <w:spacing w:before="60"/>
      </w:pPr>
      <w:r>
        <w:rPr>
          <w:b/>
          <w:bCs/>
        </w:rPr>
        <w:t xml:space="preserve">Profile analysis</w:t>
      </w:r>
    </w:p>
    <w:p>
      <w:pPr>
        <w:spacing w:after="120"/>
      </w:pPr>
      <w:r>
        <w:rPr>
          <w:color w:val="9CA3AF"/>
        </w:rPr>
        <w:t xml:space="preserve">[Statistically significant and clinically unusual index discrepancies with base rates; within-index scatter; whether the FSIQ is interpretable or the GAI/index scores better summarize ability]</w:t>
      </w:r>
    </w:p>
    <w:p>
      <w:pPr>
        <w:pStyle w:val="Heading2"/>
        <w:spacing w:before="200"/>
      </w:pPr>
      <w:r>
        <w:t xml:space="preserve">Interpretive Considerations</w:t>
      </w:r>
    </w:p>
    <w:p>
      <w:pPr>
        <w:spacing w:before="60"/>
      </w:pPr>
      <w:r>
        <w:rPr>
          <w:b/>
          <w:bCs/>
        </w:rPr>
        <w:t xml:space="preserve">Considerations</w:t>
      </w:r>
    </w:p>
    <w:p>
      <w:pPr>
        <w:spacing w:after="120"/>
      </w:pPr>
      <w:r>
        <w:rPr>
          <w:color w:val="9CA3AF"/>
        </w:rPr>
        <w:t xml:space="preserve">[Factors affecting interpretation — test anxiety, bilingualism, sensory/motor issues, practice effects, cultural considerations]</w:t>
      </w:r>
    </w:p>
    <w:p>
      <w:pPr>
        <w:pStyle w:val="Heading2"/>
        <w:spacing w:before="200"/>
      </w:pPr>
      <w:r>
        <w:t xml:space="preserve">Summary</w:t>
      </w:r>
    </w:p>
    <w:p>
      <w:pPr>
        <w:spacing w:after="120"/>
      </w:pPr>
      <w:r>
        <w:rPr>
          <w:color w:val="9CA3AF"/>
        </w:rPr>
        <w:t xml:space="preserve">[Answer the referral question directly — e.g., whether eligibility criteria are met — with the profile-level story]</w:t>
      </w:r>
    </w:p>
    <w:p>
      <w:pPr>
        <w:pStyle w:val="Heading2"/>
        <w:spacing w:before="200"/>
      </w:pPr>
      <w:r>
        <w:t xml:space="preserve">Recommendations</w:t>
      </w:r>
    </w:p>
    <w:p>
      <w:pPr>
        <w:spacing w:after="120"/>
      </w:pPr>
      <w:r>
        <w:rPr>
          <w:color w:val="9CA3AF"/>
        </w:rPr>
        <w:t xml:space="preserve">[Each tied to a specific finding: placement/eligibility, instructional strategies, accommodations for the profile, monitoring]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cognitive-assessm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Cognitive Assessment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