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Diagnostic Formulation &amp; Differential Diagnosis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clinicaldocslibrary.com/assessment-reports/diagnostic-formulation/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Clinician: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Presenting Symptoms</w:t>
      </w:r>
    </w:p>
    <w:p>
      <w:pPr>
        <w:spacing w:before="60"/>
      </w:pPr>
      <w:r>
        <w:rPr>
          <w:b/>
          <w:bCs/>
        </w:rPr>
        <w:t xml:space="preserve">Symptom inventory</w:t>
      </w:r>
    </w:p>
    <w:p>
      <w:pPr>
        <w:spacing w:after="120"/>
      </w:pPr>
      <w:r>
        <w:rPr>
          <w:color w:val="9CA3AF"/>
        </w:rPr>
        <w:t xml:space="preserve">[Behavioral description before diagnostic filtering: onset, duration, frequency, severity, functional impact; client's own language; current measure scores]</w:t>
      </w:r>
    </w:p>
    <w:p>
      <w:pPr>
        <w:spacing w:after="80"/>
      </w:pPr>
      <w:r>
        <w:rPr>
          <w:b/>
          <w:bCs/>
        </w:rPr>
        <w:t xml:space="preserve">Previous diagnoses: </w:t>
      </w:r>
      <w:r>
        <w:rPr>
          <w:color w:val="9CA3AF"/>
        </w:rPr>
        <w:t xml:space="preserve">[Prior diagnoses, source, and date]</w:t>
      </w:r>
    </w:p>
    <w:p>
      <w:pPr>
        <w:pStyle w:val="Heading2"/>
        <w:spacing w:before="200"/>
      </w:pPr>
      <w:r>
        <w:t xml:space="preserve">Preliminary Rule-Outs</w:t>
      </w:r>
    </w:p>
    <w:p>
      <w:pPr>
        <w:spacing w:after="80"/>
      </w:pPr>
      <w:r>
        <w:rPr>
          <w:b/>
          <w:bCs/>
        </w:rPr>
        <w:t xml:space="preserve">Malingering / factitious presentation considered: </w:t>
      </w:r>
      <w:r>
        <w:rPr>
          <w:color w:val="9CA3AF"/>
        </w:rPr>
        <w:t xml:space="preserve">[External incentives and clinical basis for conclusion]</w:t>
      </w:r>
    </w:p>
    <w:p>
      <w:pPr>
        <w:spacing w:after="80"/>
      </w:pPr>
      <w:r>
        <w:rPr>
          <w:b/>
          <w:bCs/>
        </w:rPr>
        <w:t xml:space="preserve">Substance-induced etiology: </w:t>
      </w:r>
      <w:r>
        <w:rPr>
          <w:color w:val="9CA3AF"/>
        </w:rPr>
        <w:t xml:space="preserve">[Substance history; temporal relationship to symptoms]</w:t>
      </w:r>
    </w:p>
    <w:p>
      <w:pPr>
        <w:spacing w:after="80"/>
      </w:pPr>
      <w:r>
        <w:rPr>
          <w:b/>
          <w:bCs/>
        </w:rPr>
        <w:t xml:space="preserve">General medical etiology: </w:t>
      </w:r>
      <w:r>
        <w:rPr>
          <w:color w:val="9CA3AF"/>
        </w:rPr>
        <w:t xml:space="preserve">[Relevant medical workup, labs, coordination with PCP]</w:t>
      </w:r>
    </w:p>
    <w:p>
      <w:pPr>
        <w:pStyle w:val="Heading2"/>
        <w:spacing w:before="200"/>
      </w:pPr>
      <w:r>
        <w:t xml:space="preserve">Differential Diagnostic Analysis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Repeat this block for each candidate diagnosis under consideration.</w:t>
      </w:r>
    </w:p>
    <w:p>
      <w:pPr>
        <w:spacing w:after="80"/>
      </w:pPr>
      <w:r>
        <w:rPr>
          <w:b/>
          <w:bCs/>
        </w:rPr>
        <w:t xml:space="preserve">Candidate diagnosis: </w:t>
      </w:r>
      <w:r>
        <w:rPr>
          <w:color w:val="9CA3AF"/>
        </w:rPr>
        <w:t xml:space="preserve">[Name and ICD-10 code]</w:t>
      </w:r>
    </w:p>
    <w:p>
      <w:pPr>
        <w:spacing w:before="60"/>
      </w:pPr>
      <w:r>
        <w:rPr>
          <w:b/>
          <w:bCs/>
        </w:rPr>
        <w:t xml:space="preserve">Evidence for</w:t>
      </w:r>
    </w:p>
    <w:p>
      <w:pPr>
        <w:spacing w:after="120"/>
      </w:pPr>
      <w:r>
        <w:rPr>
          <w:color w:val="9CA3AF"/>
        </w:rPr>
        <w:t xml:space="preserve">[Specific symptoms, history, measures, and collateral supporting the diagnosis]</w:t>
      </w:r>
    </w:p>
    <w:p>
      <w:pPr>
        <w:spacing w:before="60"/>
      </w:pPr>
      <w:r>
        <w:rPr>
          <w:b/>
          <w:bCs/>
        </w:rPr>
        <w:t xml:space="preserve">Evidence against</w:t>
      </w:r>
    </w:p>
    <w:p>
      <w:pPr>
        <w:spacing w:after="120"/>
      </w:pPr>
      <w:r>
        <w:rPr>
          <w:color w:val="9CA3AF"/>
        </w:rPr>
        <w:t xml:space="preserve">[Findings that contradict the diagnosis or fit an alternative better; what would resolve the question]</w:t>
      </w:r>
    </w:p>
    <w:p>
      <w:pPr>
        <w:pStyle w:val="Heading2"/>
        <w:spacing w:before="200"/>
      </w:pPr>
      <w:r>
        <w:t xml:space="preserve">Diagnostic Conclusions</w:t>
      </w:r>
    </w:p>
    <w:p>
      <w:pPr>
        <w:spacing w:before="60"/>
      </w:pPr>
      <w:r>
        <w:rPr>
          <w:b/>
          <w:bCs/>
        </w:rPr>
        <w:t xml:space="preserve">Conclusions</w:t>
      </w:r>
    </w:p>
    <w:p>
      <w:pPr>
        <w:spacing w:after="120"/>
      </w:pPr>
      <w:r>
        <w:rPr>
          <w:color w:val="9CA3AF"/>
        </w:rPr>
        <w:t xml:space="preserve">[Confirmed diagnoses with supporting evidence; provisional diagnoses with the information needed to confirm; ruled-out diagnoses with brief reasoning; comorbidity relationships (independent / secondary / exacerbating)]</w:t>
      </w:r>
    </w:p>
    <w:p>
      <w:pPr>
        <w:pStyle w:val="Heading2"/>
        <w:spacing w:before="200"/>
      </w:pPr>
      <w:r>
        <w:t xml:space="preserve">Diagnostic Plan</w:t>
      </w:r>
    </w:p>
    <w:p>
      <w:pPr>
        <w:spacing w:before="60"/>
      </w:pPr>
      <w:r>
        <w:rPr>
          <w:b/>
          <w:bCs/>
        </w:rPr>
        <w:t xml:space="preserve">Plan</w:t>
      </w:r>
    </w:p>
    <w:p>
      <w:pPr>
        <w:spacing w:after="120"/>
      </w:pPr>
      <w:r>
        <w:rPr>
          <w:color w:val="9CA3AF"/>
        </w:rPr>
        <w:t xml:space="preserve">[Steps to resolve remaining questions — mood charting, collateral history, testing referral, labs, longitudinal observation — with reassessment timeline]</w:t>
      </w:r>
    </w:p>
    <w:p>
      <w:pPr>
        <w:pStyle w:val="Heading2"/>
        <w:spacing w:before="200"/>
      </w:pPr>
      <w:r>
        <w:t xml:space="preserve">Treatment Implications</w:t>
      </w:r>
    </w:p>
    <w:p>
      <w:pPr>
        <w:spacing w:before="60"/>
      </w:pPr>
      <w:r>
        <w:rPr>
          <w:b/>
          <w:bCs/>
        </w:rPr>
        <w:t xml:space="preserve">Implications</w:t>
      </w:r>
    </w:p>
    <w:p>
      <w:pPr>
        <w:spacing w:after="120"/>
      </w:pPr>
      <w:r>
        <w:rPr>
          <w:color w:val="9CA3AF"/>
        </w:rPr>
        <w:t xml:space="preserve">[How the diagnosis or remaining uncertainty affects treatment decisions, including any treatment-critical contingencies]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diagnostic-formul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Diagnostic Formulation &amp; Differential Diagnosis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