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Differential Diagnosis Write-Up</w:t>
      </w:r>
    </w:p>
    <w:p>
      <w:r>
        <w:rPr>
          <w:i/>
          <w:iCs/>
          <w:color w:val="2563EB"/>
        </w:rPr>
        <w:t xml:space="preserve">clinicaldocslibrary.com</w:t>
      </w:r>
    </w:p>
    <w:p>
      <w:pPr>
        <w:spacing w:after="160"/>
      </w:pPr>
      <w:hyperlink w:history="1" r:id="rIdCdlLink1">
        <w:r>
          <w:rPr>
            <w:rStyle w:val="Hyperlink"/>
          </w:rPr>
          <w:t xml:space="preserve">Prefer to fill this in with AI assistance? Open this template pre-loaded in My Clinical Writer →</w:t>
        </w:r>
      </w:hyperlink>
    </w:p>
    <w:p>
      <w:pPr>
        <w:spacing w:after="120"/>
      </w:pPr>
      <w:r>
        <w:rPr>
          <w:i/>
          <w:iCs/>
          <w:color w:val="6B7280"/>
          <w:sz w:val="18"/>
          <w:szCs w:val="18"/>
        </w:rPr>
        <w:t xml:space="preserve">Fillable template — replace all [bracketed] text with client-specific information and delete prompts you do not need. Documentation guidance and a worked example: clinicaldocslibrary.com/assessment-reports/differential-diagnosis-template/</w:t>
      </w:r>
    </w:p>
    <w:p>
      <w:pPr>
        <w:spacing w:after="80"/>
      </w:pPr>
      <w:r>
        <w:rPr>
          <w:b/>
          <w:bCs/>
        </w:rPr>
        <w:t xml:space="preserve">Client / ID: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Date: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Clinician: </w:t>
      </w:r>
      <w:r>
        <w:rPr>
          <w:color w:val="9CA3AF"/>
        </w:rPr>
        <w:t xml:space="preserve">[ ____________________________________ ]</w:t>
      </w:r>
    </w:p>
    <w:p>
      <w:pPr>
        <w:pStyle w:val="Heading2"/>
        <w:spacing w:before="200"/>
      </w:pPr>
      <w:r>
        <w:t xml:space="preserve">Presenting Symptom Inventory</w:t>
      </w:r>
    </w:p>
    <w:p>
      <w:pPr>
        <w:spacing w:before="60"/>
      </w:pPr>
      <w:r>
        <w:rPr>
          <w:b/>
          <w:bCs/>
        </w:rPr>
        <w:t xml:space="preserve">Symptom inventory</w:t>
      </w:r>
    </w:p>
    <w:p>
      <w:pPr>
        <w:spacing w:after="120"/>
      </w:pPr>
      <w:r>
        <w:rPr>
          <w:color w:val="9CA3AF"/>
        </w:rPr>
        <w:t xml:space="preserve">[Behavioral description before diagnostic filtering: each major symptom with onset, duration, frequency, severity, and context; functional impact; client's own words; current measure scores]</w:t>
      </w:r>
    </w:p>
    <w:p>
      <w:pPr>
        <w:pStyle w:val="Heading2"/>
        <w:spacing w:before="200"/>
      </w:pPr>
      <w:r>
        <w:t xml:space="preserve">Candidate Diagnosis List</w:t>
      </w:r>
    </w:p>
    <w:p>
      <w:pPr>
        <w:spacing w:before="60"/>
      </w:pPr>
      <w:r>
        <w:rPr>
          <w:b/>
          <w:bCs/>
        </w:rPr>
        <w:t xml:space="preserve">Candidates</w:t>
      </w:r>
    </w:p>
    <w:p>
      <w:pPr>
        <w:spacing w:after="120"/>
      </w:pPr>
      <w:r>
        <w:rPr>
          <w:color w:val="9CA3AF"/>
        </w:rPr>
        <w:t xml:space="preserve">[Every diagnosis plausibly accounting for the presentation, with ICD-10-CM codes — cast wide here, narrow in the analysis]</w:t>
      </w:r>
    </w:p>
    <w:p>
      <w:pPr>
        <w:pStyle w:val="Heading2"/>
        <w:spacing w:before="200"/>
      </w:pPr>
      <w:r>
        <w:t xml:space="preserve">Six-Step Screen (First, DSM-5-TR Handbook of Differential Diagnosis)</w:t>
      </w:r>
    </w:p>
    <w:p>
      <w:pPr>
        <w:spacing w:after="80"/>
      </w:pPr>
      <w:r>
        <w:rPr>
          <w:b/>
          <w:bCs/>
        </w:rPr>
        <w:t xml:space="preserve">Malingering / factitious presentation considered: </w:t>
      </w:r>
      <w:r>
        <w:rPr>
          <w:color w:val="9CA3AF"/>
        </w:rPr>
        <w:t xml:space="preserve">[External incentives; clinical basis for conclusion]</w:t>
      </w:r>
    </w:p>
    <w:p>
      <w:pPr>
        <w:spacing w:after="80"/>
      </w:pPr>
      <w:r>
        <w:rPr>
          <w:b/>
          <w:bCs/>
        </w:rPr>
        <w:t xml:space="preserve">Substance etiology: </w:t>
      </w:r>
      <w:r>
        <w:rPr>
          <w:color w:val="9CA3AF"/>
        </w:rPr>
        <w:t xml:space="preserve">[Use history; temporal relationship to symptoms]</w:t>
      </w:r>
    </w:p>
    <w:p>
      <w:pPr>
        <w:spacing w:after="80"/>
      </w:pPr>
      <w:r>
        <w:rPr>
          <w:b/>
          <w:bCs/>
        </w:rPr>
        <w:t xml:space="preserve">Medical etiology: </w:t>
      </w:r>
      <w:r>
        <w:rPr>
          <w:color w:val="9CA3AF"/>
        </w:rPr>
        <w:t xml:space="preserve">[Relevant workup; coordination with medical provider]</w:t>
      </w:r>
    </w:p>
    <w:p>
      <w:pPr>
        <w:spacing w:after="80"/>
      </w:pPr>
      <w:r>
        <w:rPr>
          <w:b/>
          <w:bCs/>
        </w:rPr>
        <w:t xml:space="preserve">Adjustment disorder vs. other specified/unspecified: </w:t>
      </w:r>
      <w:r>
        <w:rPr>
          <w:color w:val="9CA3AF"/>
        </w:rPr>
        <w:t xml:space="preserve">[If symptoms follow a stressor without full criteria elsewhere]</w:t>
      </w:r>
    </w:p>
    <w:p>
      <w:pPr>
        <w:spacing w:after="80"/>
      </w:pPr>
      <w:r>
        <w:rPr>
          <w:b/>
          <w:bCs/>
        </w:rPr>
        <w:t xml:space="preserve">Boundary with normality: </w:t>
      </w:r>
      <w:r>
        <w:rPr>
          <w:color w:val="9CA3AF"/>
        </w:rPr>
        <w:t xml:space="preserve">[Clinical-significance threshold — distress/impairment evidence]</w:t>
      </w:r>
    </w:p>
    <w:p>
      <w:pPr>
        <w:pStyle w:val="Heading2"/>
        <w:spacing w:before="200"/>
      </w:pPr>
      <w:r>
        <w:t xml:space="preserve">Candidate Analysis</w:t>
      </w:r>
    </w:p>
    <w:p>
      <w:pPr>
        <w:spacing w:after="120"/>
      </w:pPr>
      <w:r>
        <w:rPr>
          <w:i/>
          <w:iCs/>
          <w:color w:val="6B7280"/>
          <w:sz w:val="18"/>
          <w:szCs w:val="18"/>
        </w:rPr>
        <w:t xml:space="preserve">Repeat this block for each candidate diagnosis under serious consideration. Write the evidence-against line even for the favored diagnosis.</w:t>
      </w:r>
    </w:p>
    <w:p>
      <w:pPr>
        <w:spacing w:after="80"/>
      </w:pPr>
      <w:r>
        <w:rPr>
          <w:b/>
          <w:bCs/>
        </w:rPr>
        <w:t xml:space="preserve">Candidate diagnosis: </w:t>
      </w:r>
      <w:r>
        <w:rPr>
          <w:color w:val="9CA3AF"/>
        </w:rPr>
        <w:t xml:space="preserve">[Name and ICD-10-CM code]</w:t>
      </w:r>
    </w:p>
    <w:p>
      <w:pPr>
        <w:spacing w:before="60"/>
      </w:pPr>
      <w:r>
        <w:rPr>
          <w:b/>
          <w:bCs/>
        </w:rPr>
        <w:t xml:space="preserve">Evidence for</w:t>
      </w:r>
    </w:p>
    <w:p>
      <w:pPr>
        <w:spacing w:after="120"/>
      </w:pPr>
      <w:r>
        <w:rPr>
          <w:color w:val="9CA3AF"/>
        </w:rPr>
        <w:t xml:space="preserve">[Specific symptoms, history, course, measures, and collateral supporting the diagnosis]</w:t>
      </w:r>
    </w:p>
    <w:p>
      <w:pPr>
        <w:spacing w:before="60"/>
      </w:pPr>
      <w:r>
        <w:rPr>
          <w:b/>
          <w:bCs/>
        </w:rPr>
        <w:t xml:space="preserve">Evidence against</w:t>
      </w:r>
    </w:p>
    <w:p>
      <w:pPr>
        <w:spacing w:after="120"/>
      </w:pPr>
      <w:r>
        <w:rPr>
          <w:color w:val="9CA3AF"/>
        </w:rPr>
        <w:t xml:space="preserve">[Findings that contradict it or fit an alternative better]</w:t>
      </w:r>
    </w:p>
    <w:p>
      <w:pPr>
        <w:spacing w:after="80"/>
      </w:pPr>
      <w:r>
        <w:rPr>
          <w:b/>
          <w:bCs/>
        </w:rPr>
        <w:t xml:space="preserve">Status: </w:t>
      </w:r>
      <w:r>
        <w:rPr>
          <w:color w:val="9CA3AF"/>
        </w:rPr>
        <w:t xml:space="preserve">[Confirmed / Provisional / Ruled out / Deferred]</w:t>
      </w:r>
    </w:p>
    <w:p>
      <w:pPr>
        <w:spacing w:after="80"/>
      </w:pPr>
      <w:r>
        <w:rPr>
          <w:b/>
          <w:bCs/>
        </w:rPr>
        <w:t xml:space="preserve">What would change the picture: </w:t>
      </w:r>
      <w:r>
        <w:rPr>
          <w:color w:val="9CA3AF"/>
        </w:rPr>
        <w:t xml:space="preserve">[The specific data that would confirm, disconfirm, or re-rank this candidate]</w:t>
      </w:r>
    </w:p>
    <w:p>
      <w:pPr>
        <w:pStyle w:val="Heading2"/>
        <w:spacing w:before="200"/>
      </w:pPr>
      <w:r>
        <w:t xml:space="preserve">Diagnostic Impression</w:t>
      </w:r>
    </w:p>
    <w:p>
      <w:pPr>
        <w:spacing w:before="60"/>
      </w:pPr>
      <w:r>
        <w:rPr>
          <w:b/>
          <w:bCs/>
        </w:rPr>
        <w:t xml:space="preserve">Impression</w:t>
      </w:r>
    </w:p>
    <w:p>
      <w:pPr>
        <w:spacing w:after="120"/>
      </w:pPr>
      <w:r>
        <w:rPr>
          <w:color w:val="9CA3AF"/>
        </w:rPr>
        <w:t xml:space="preserve">[Final diagnoses with ICD-10-CM codes and status labels; comorbidity relationships (independent / secondary / exacerbating); symptoms attributed to each diagnosis to avoid double-counting]</w:t>
      </w:r>
    </w:p>
    <w:p>
      <w:pPr>
        <w:pStyle w:val="Heading2"/>
        <w:spacing w:before="200"/>
      </w:pPr>
      <w:r>
        <w:t xml:space="preserve">Reassessment Plan</w:t>
      </w:r>
    </w:p>
    <w:p>
      <w:pPr>
        <w:spacing w:before="60"/>
      </w:pPr>
      <w:r>
        <w:rPr>
          <w:b/>
          <w:bCs/>
        </w:rPr>
        <w:t xml:space="preserve">Plan</w:t>
      </w:r>
    </w:p>
    <w:p>
      <w:pPr>
        <w:spacing w:after="120"/>
      </w:pPr>
      <w:r>
        <w:rPr>
          <w:color w:val="9CA3AF"/>
        </w:rPr>
        <w:t xml:space="preserve">[Steps to resolve open questions — prospective charting, collateral history, records, testing, labs — each with a timeline; date provisional/deferred labels will be revisited; document the provisional-to-confirmed transition when it occurs]</w:t>
      </w:r>
    </w:p>
    <w:p>
      <w:pPr>
        <w:spacing w:after="80"/>
      </w:pPr>
      <w:r>
        <w:rPr>
          <w:b/>
          <w:bCs/>
        </w:rPr>
        <w:t xml:space="preserve">Signature / Credentials / Date: </w:t>
      </w:r>
      <w:r>
        <w:rPr>
          <w:color w:val="9CA3AF"/>
        </w:rPr>
        <w:t xml:space="preserve">[ ____________________________________ ]</w:t>
      </w:r>
    </w:p>
    <w:p>
      <w:pPr>
        <w:spacing w:after="120"/>
      </w:pPr>
      <w:r>
        <w:rPr>
          <w:i/>
          <w:iCs/>
          <w:color w:val="6B7280"/>
          <w:sz w:val="18"/>
          <w:szCs w:val="18"/>
        </w:rPr>
        <w:t xml:space="preserve">This template is a general documentation aid, not legal or clinical advice. Adapt to your setting, payer, and jurisdiction. Remove this line before clinical use.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lLink1" Type="http://schemas.openxmlformats.org/officeDocument/2006/relationships/hyperlink" Target="https://myclinicalwriter.ai/app/smart_text?utm_content=docx&amp;libTemplate=differential-diagnosis-template&amp;utm_source=clinicaldocslibrary&amp;utm_medium=referral&amp;utm_campaign=try_template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Differential Diagnosis Write-Up</dc:title>
  <dc:creator>Clinical Documentation Library</dc:creator>
  <cp:lastModifiedBy>Un-named</cp:lastModifiedBy>
  <cp:revision>1</cp:revision>
  <dcterms:created xsi:type="dcterms:W3CDTF">2026-08-14T12:00:00.000Z</dcterms:created>
  <dcterms:modified xsi:type="dcterms:W3CDTF">2026-08-14T12:00:00.000Z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