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Disability Determination Psychological Report (SSA)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clinicaldocslibrary.com/forensic-legal/disability-determination/</w:t>
      </w:r>
    </w:p>
    <w:p>
      <w:pPr>
        <w:spacing w:after="80"/>
      </w:pPr>
      <w:r>
        <w:rPr>
          <w:b/>
          <w:bCs/>
        </w:rPr>
        <w:t xml:space="preserve">Claimant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[SSA/DDS consultative examination, claimant's attorney, or treating source statement]</w:t>
      </w:r>
    </w:p>
    <w:p>
      <w:pPr>
        <w:spacing w:after="80"/>
      </w:pPr>
      <w:r>
        <w:rPr>
          <w:b/>
          <w:bCs/>
        </w:rPr>
        <w:t xml:space="preserve">Treatment relationship, if any: </w:t>
      </w:r>
      <w:r>
        <w:rPr>
          <w:color w:val="9CA3AF"/>
        </w:rPr>
        <w:t xml:space="preserve">[Length, frequency, and nature of the treating relationship — bears on the weight of the opinion]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History of Present Illness and Psychiatric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[Onset, course, and current severity of the mental condition(s); prior diagnoses, treatment and response, hospitalizations, periods of stability and decompensation]</w:t>
      </w:r>
    </w:p>
    <w:p>
      <w:pPr>
        <w:pStyle w:val="Heading2"/>
        <w:spacing w:before="200"/>
      </w:pPr>
      <w:r>
        <w:t xml:space="preserve">Medical, Social, and Occupational History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[Interacting medical conditions, education, employment history (reasons for leaving jobs, longest position held), social functioning, living situation, and activities of daily living — address any apparent discrepancy between reported limitations and ADLs]</w:t>
      </w:r>
    </w:p>
    <w:p>
      <w:pPr>
        <w:pStyle w:val="Heading2"/>
        <w:spacing w:before="200"/>
      </w:pPr>
      <w:r>
        <w:t xml:space="preserve">Mental Status Examination</w:t>
      </w:r>
    </w:p>
    <w:p>
      <w:pPr>
        <w:spacing w:before="60"/>
      </w:pPr>
      <w:r>
        <w:rPr>
          <w:b/>
          <w:bCs/>
        </w:rPr>
        <w:t xml:space="preserve">MSE</w:t>
      </w:r>
    </w:p>
    <w:p>
      <w:pPr>
        <w:spacing w:after="120"/>
      </w:pPr>
      <w:r>
        <w:rPr>
          <w:color w:val="9CA3AF"/>
        </w:rPr>
        <w:t xml:space="preserve">[Appearance, behavior, psychomotor activity, speech, mood, affect, thought process/content, SI/HI, orientation, attention, concentration, memory, insight, judgment]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[Instruments relevant to the claimed condition and SSA functional domains, with scores and validity assessment]</w:t>
      </w:r>
    </w:p>
    <w:p>
      <w:pPr>
        <w:pStyle w:val="Heading2"/>
        <w:spacing w:before="200"/>
      </w:pPr>
      <w:r>
        <w:t xml:space="preserve">Diagnostic Formulation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[Supported by objective clinical findings — a medically determinable impairment requires more than self-report]</w:t>
      </w:r>
    </w:p>
    <w:p>
      <w:pPr>
        <w:pStyle w:val="Heading2"/>
        <w:spacing w:before="200"/>
      </w:pPr>
      <w:r>
        <w:t xml:space="preserve">Paragraph B Functional Limitation Ratings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Rate each domain none / mild / moderate / marked / extreme, and support every rating with specific behavioral examples, observations, and test data — conclusory ratings receive little weight.</w:t>
      </w:r>
    </w:p>
    <w:p>
      <w:pPr>
        <w:spacing w:before="60"/>
      </w:pPr>
      <w:r>
        <w:rPr>
          <w:b/>
          <w:bCs/>
        </w:rPr>
        <w:t xml:space="preserve">1. Understanding, remembering, or applying information</w:t>
      </w:r>
    </w:p>
    <w:p>
      <w:pPr>
        <w:spacing w:after="120"/>
      </w:pPr>
      <w:r>
        <w:rPr>
          <w:color w:val="9CA3AF"/>
        </w:rPr>
        <w:t xml:space="preserve">[Rating and supporting evidence — learning, recall, following instructions, problem-solving]</w:t>
      </w:r>
    </w:p>
    <w:p>
      <w:pPr>
        <w:spacing w:before="60"/>
      </w:pPr>
      <w:r>
        <w:rPr>
          <w:b/>
          <w:bCs/>
        </w:rPr>
        <w:t xml:space="preserve">2. Interacting with others</w:t>
      </w:r>
    </w:p>
    <w:p>
      <w:pPr>
        <w:spacing w:after="120"/>
      </w:pPr>
      <w:r>
        <w:rPr>
          <w:color w:val="9CA3AF"/>
        </w:rPr>
        <w:t xml:space="preserve">[Rating and supporting evidence — relating to supervisors, coworkers, and the public; cooperation, conflict, social appropriateness]</w:t>
      </w:r>
    </w:p>
    <w:p>
      <w:pPr>
        <w:spacing w:before="60"/>
      </w:pPr>
      <w:r>
        <w:rPr>
          <w:b/>
          <w:bCs/>
        </w:rPr>
        <w:t xml:space="preserve">3. Concentrating, persisting, or maintaining pace</w:t>
      </w:r>
    </w:p>
    <w:p>
      <w:pPr>
        <w:spacing w:after="120"/>
      </w:pPr>
      <w:r>
        <w:rPr>
          <w:color w:val="9CA3AF"/>
        </w:rPr>
        <w:t xml:space="preserve">[Rating and supporting evidence — sustaining focus and pace over a normal workday and workweek, not just briefly]</w:t>
      </w:r>
    </w:p>
    <w:p>
      <w:pPr>
        <w:spacing w:before="60"/>
      </w:pPr>
      <w:r>
        <w:rPr>
          <w:b/>
          <w:bCs/>
        </w:rPr>
        <w:t xml:space="preserve">4. Adapting or managing oneself</w:t>
      </w:r>
    </w:p>
    <w:p>
      <w:pPr>
        <w:spacing w:after="120"/>
      </w:pPr>
      <w:r>
        <w:rPr>
          <w:color w:val="9CA3AF"/>
        </w:rPr>
        <w:t xml:space="preserve">[Rating and supporting evidence — regulating emotions, adapting to change, hygiene, awareness of hazards]</w:t>
      </w:r>
    </w:p>
    <w:p>
      <w:pPr>
        <w:pStyle w:val="Heading2"/>
        <w:spacing w:before="200"/>
      </w:pPr>
      <w:r>
        <w:t xml:space="preserve">Mental Residual Functional Capacity</w:t>
      </w:r>
    </w:p>
    <w:p>
      <w:pPr>
        <w:spacing w:before="60"/>
      </w:pPr>
      <w:r>
        <w:rPr>
          <w:b/>
          <w:bCs/>
        </w:rPr>
        <w:t xml:space="preserve">RFC opinion</w:t>
      </w:r>
    </w:p>
    <w:p>
      <w:pPr>
        <w:spacing w:after="120"/>
      </w:pPr>
      <w:r>
        <w:rPr>
          <w:color w:val="9CA3AF"/>
        </w:rPr>
        <w:t xml:space="preserve">[The most the claimant can do despite limitations, in work-related terms: maintaining attendance, completing a normal workday/workweek, responding to supervision, interacting with coworkers, handling routine changes, sustaining work on a regular and continuing basis]</w:t>
      </w:r>
    </w:p>
    <w:p>
      <w:pPr>
        <w:pStyle w:val="Heading2"/>
        <w:spacing w:before="200"/>
      </w:pPr>
      <w:r>
        <w:t xml:space="preserve">Prognosis and Duration</w:t>
      </w:r>
    </w:p>
    <w:p>
      <w:pPr>
        <w:spacing w:before="60"/>
      </w:pPr>
      <w:r>
        <w:rPr>
          <w:b/>
          <w:bCs/>
        </w:rPr>
        <w:t xml:space="preserve">Prognosis</w:t>
      </w:r>
    </w:p>
    <w:p>
      <w:pPr>
        <w:spacing w:after="120"/>
      </w:pPr>
      <w:r>
        <w:rPr>
          <w:color w:val="9CA3AF"/>
        </w:rPr>
        <w:t xml:space="preserve">[Whether the impairment has lasted or is expected to last at least 12 months; expected course with and without treatment; treatment compliance and response, including treatment resistance where present]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disability-determin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Determination Psychological Report (SSA)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