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Duty to Warn / Threat Assessment Documentation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clinicaldocslibrary.com/practice-forms/duty-to-warn/</w:t>
      </w:r>
    </w:p>
    <w:p>
      <w:pPr>
        <w:spacing w:after="80"/>
      </w:pPr>
      <w:r>
        <w:rPr>
          <w:b/>
          <w:bCs/>
        </w:rPr>
        <w:t xml:space="preserve">Date and time of assessment: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 / Credentials / License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Session type / context: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Presenting Situation</w:t>
      </w:r>
    </w:p>
    <w:p>
      <w:pPr>
        <w:spacing w:before="60"/>
      </w:pPr>
      <w:r>
        <w:rPr>
          <w:b/>
          <w:bCs/>
        </w:rPr>
        <w:t xml:space="preserve">Situation</w:t>
      </w:r>
    </w:p>
    <w:p>
      <w:pPr>
        <w:spacing w:after="120"/>
      </w:pPr>
      <w:r>
        <w:rPr>
          <w:color w:val="9CA3AF"/>
        </w:rPr>
        <w:t xml:space="preserve">[How the threat arose: context of the session, the identified potential victim and their relationship to the client, precipitating events]</w:t>
      </w:r>
    </w:p>
    <w:p>
      <w:pPr>
        <w:pStyle w:val="Heading2"/>
        <w:spacing w:before="200"/>
      </w:pPr>
      <w:r>
        <w:t xml:space="preserve">Client Statements</w:t>
      </w:r>
    </w:p>
    <w:p>
      <w:pPr>
        <w:spacing w:before="60"/>
      </w:pPr>
      <w:r>
        <w:rPr>
          <w:b/>
          <w:bCs/>
        </w:rPr>
        <w:t xml:space="preserve">Verbatim statements</w:t>
      </w:r>
    </w:p>
    <w:p>
      <w:pPr>
        <w:spacing w:after="120"/>
      </w:pPr>
      <w:r>
        <w:rPr>
          <w:color w:val="9CA3AF"/>
        </w:rPr>
        <w:t xml:space="preserve">[Record the client's exact words as closely as possible, including any clarification you sought about intent vs. venting]</w:t>
      </w:r>
    </w:p>
    <w:p>
      <w:pPr>
        <w:pStyle w:val="Heading2"/>
        <w:spacing w:before="200"/>
      </w:pPr>
      <w:r>
        <w:t xml:space="preserve">Threat Assessment</w:t>
      </w:r>
    </w:p>
    <w:p>
      <w:pPr>
        <w:spacing w:after="80"/>
      </w:pPr>
      <w:r>
        <w:rPr>
          <w:b/>
          <w:bCs/>
        </w:rPr>
        <w:t xml:space="preserve">Specificity: </w:t>
      </w:r>
      <w:r>
        <w:rPr>
          <w:color w:val="9CA3AF"/>
        </w:rPr>
        <w:t xml:space="preserve">[Named victim? Specific act, time, or location?]</w:t>
      </w:r>
    </w:p>
    <w:p>
      <w:pPr>
        <w:spacing w:after="80"/>
      </w:pPr>
      <w:r>
        <w:rPr>
          <w:b/>
          <w:bCs/>
        </w:rPr>
        <w:t xml:space="preserve">Intent: </w:t>
      </w:r>
      <w:r>
        <w:rPr>
          <w:color w:val="9CA3AF"/>
        </w:rPr>
        <w:t xml:space="preserve">[Stated intent vs. frustration, fantasy, or hypothetical]</w:t>
      </w:r>
    </w:p>
    <w:p>
      <w:pPr>
        <w:spacing w:after="80"/>
      </w:pPr>
      <w:r>
        <w:rPr>
          <w:b/>
          <w:bCs/>
        </w:rPr>
        <w:t xml:space="preserve">Means: </w:t>
      </w:r>
      <w:r>
        <w:rPr>
          <w:color w:val="9CA3AF"/>
        </w:rPr>
        <w:t xml:space="preserve">[Access to weapons or other means; recent acquisition]</w:t>
      </w:r>
    </w:p>
    <w:p>
      <w:pPr>
        <w:spacing w:after="80"/>
      </w:pPr>
      <w:r>
        <w:rPr>
          <w:b/>
          <w:bCs/>
        </w:rPr>
        <w:t xml:space="preserve">Plan: </w:t>
      </w:r>
      <w:r>
        <w:rPr>
          <w:color w:val="9CA3AF"/>
        </w:rPr>
        <w:t xml:space="preserve">[Existence and level of detail of a plan]</w:t>
      </w:r>
    </w:p>
    <w:p>
      <w:pPr>
        <w:spacing w:after="80"/>
      </w:pPr>
      <w:r>
        <w:rPr>
          <w:b/>
          <w:bCs/>
        </w:rPr>
        <w:t xml:space="preserve">History: </w:t>
      </w:r>
      <w:r>
        <w:rPr>
          <w:color w:val="9CA3AF"/>
        </w:rPr>
        <w:t xml:space="preserve">[Prior violence, threats, arrests, protective-order violations]</w:t>
      </w:r>
    </w:p>
    <w:p>
      <w:pPr>
        <w:spacing w:after="80"/>
      </w:pPr>
      <w:r>
        <w:rPr>
          <w:b/>
          <w:bCs/>
        </w:rPr>
        <w:t xml:space="preserve">Substance use: </w:t>
      </w:r>
      <w:r>
        <w:rPr>
          <w:color w:val="9CA3AF"/>
        </w:rPr>
        <w:t xml:space="preserve">[Current use that may disinhibit violent behavior]</w:t>
      </w:r>
    </w:p>
    <w:p>
      <w:pPr>
        <w:spacing w:after="80"/>
      </w:pPr>
      <w:r>
        <w:rPr>
          <w:b/>
          <w:bCs/>
        </w:rPr>
        <w:t xml:space="preserve">Escalation: </w:t>
      </w:r>
      <w:r>
        <w:rPr>
          <w:color w:val="9CA3AF"/>
        </w:rPr>
        <w:t xml:space="preserve">[Pattern of escalating hostility or conflict]</w:t>
      </w:r>
    </w:p>
    <w:p>
      <w:pPr>
        <w:spacing w:before="60"/>
      </w:pPr>
      <w:r>
        <w:rPr>
          <w:b/>
          <w:bCs/>
        </w:rPr>
        <w:t xml:space="preserve">Protective factors</w:t>
      </w:r>
    </w:p>
    <w:p>
      <w:pPr>
        <w:spacing w:after="120"/>
      </w:pPr>
      <w:r>
        <w:rPr>
          <w:color w:val="9CA3AF"/>
        </w:rPr>
        <w:t xml:space="preserve">[Alliance, supports, absence of means, expressed ambivalence, deterrents]</w:t>
      </w:r>
    </w:p>
    <w:p>
      <w:pPr>
        <w:spacing w:after="80"/>
      </w:pPr>
      <w:r>
        <w:rPr>
          <w:b/>
          <w:bCs/>
        </w:rPr>
        <w:t xml:space="preserve">Overall threat level: </w:t>
      </w:r>
      <w:r>
        <w:rPr>
          <w:color w:val="9CA3AF"/>
        </w:rPr>
        <w:t xml:space="preserve">[Low / Moderate / High — with clinical reasoning]</w:t>
      </w:r>
    </w:p>
    <w:p>
      <w:pPr>
        <w:pStyle w:val="Heading2"/>
        <w:spacing w:before="200"/>
      </w:pPr>
      <w:r>
        <w:t xml:space="preserve">Actions Taken</w:t>
      </w:r>
    </w:p>
    <w:p>
      <w:pPr>
        <w:spacing w:before="60"/>
      </w:pPr>
      <w:r>
        <w:rPr>
          <w:b/>
          <w:bCs/>
        </w:rPr>
        <w:t xml:space="preserve">Consultation</w:t>
      </w:r>
    </w:p>
    <w:p>
      <w:pPr>
        <w:spacing w:after="120"/>
      </w:pPr>
      <w:r>
        <w:rPr>
          <w:color w:val="9CA3AF"/>
        </w:rPr>
        <w:t xml:space="preserve">[Date/time, who was consulted (colleague, supervisor, risk management line), advice received]</w:t>
      </w:r>
    </w:p>
    <w:p>
      <w:pPr>
        <w:spacing w:before="60"/>
      </w:pPr>
      <w:r>
        <w:rPr>
          <w:b/>
          <w:bCs/>
        </w:rPr>
        <w:t xml:space="preserve">Clinical intervention</w:t>
      </w:r>
    </w:p>
    <w:p>
      <w:pPr>
        <w:spacing w:after="120"/>
      </w:pPr>
      <w:r>
        <w:rPr>
          <w:color w:val="9CA3AF"/>
        </w:rPr>
        <w:t xml:space="preserve">[Limits-of-confidentiality discussion, de-escalation, safety intervention, voluntary evaluation offered, SI assessment]</w:t>
      </w:r>
    </w:p>
    <w:p>
      <w:pPr>
        <w:spacing w:before="60"/>
      </w:pPr>
      <w:r>
        <w:rPr>
          <w:b/>
          <w:bCs/>
        </w:rPr>
        <w:t xml:space="preserve">Warning to potential victim (if made)</w:t>
      </w:r>
    </w:p>
    <w:p>
      <w:pPr>
        <w:spacing w:after="120"/>
      </w:pPr>
      <w:r>
        <w:rPr>
          <w:color w:val="9CA3AF"/>
        </w:rPr>
        <w:t xml:space="preserve">[Date/time, method, what was communicated — limited to what is necessary for safety; no clinical details beyond that]</w:t>
      </w:r>
    </w:p>
    <w:p>
      <w:pPr>
        <w:spacing w:before="60"/>
      </w:pPr>
      <w:r>
        <w:rPr>
          <w:b/>
          <w:bCs/>
        </w:rPr>
        <w:t xml:space="preserve">Law enforcement notification (if made)</w:t>
      </w:r>
    </w:p>
    <w:p>
      <w:pPr>
        <w:spacing w:after="120"/>
      </w:pPr>
      <w:r>
        <w:rPr>
          <w:color w:val="9CA3AF"/>
        </w:rPr>
        <w:t xml:space="preserve">[Date/time, agency, officer name/badge, case number, information provided]</w:t>
      </w:r>
    </w:p>
    <w:p>
      <w:pPr>
        <w:pStyle w:val="Heading2"/>
        <w:spacing w:before="200"/>
      </w:pPr>
      <w:r>
        <w:t xml:space="preserve">Follow-Up Plan</w:t>
      </w:r>
    </w:p>
    <w:p>
      <w:pPr>
        <w:spacing w:before="60"/>
      </w:pPr>
      <w:r>
        <w:rPr>
          <w:b/>
          <w:bCs/>
        </w:rPr>
        <w:t xml:space="preserve">Follow-up</w:t>
      </w:r>
    </w:p>
    <w:p>
      <w:pPr>
        <w:spacing w:after="120"/>
      </w:pPr>
      <w:r>
        <w:rPr>
          <w:color w:val="9CA3AF"/>
        </w:rPr>
        <w:t xml:space="preserve">[Timeframes for re-contact and reassessment, coordination with law enforcement, emergency session scheduling, carrier consultation, documentation of all follow-up contacts]</w:t>
      </w:r>
    </w:p>
    <w:p>
      <w:pPr>
        <w:pStyle w:val="Heading2"/>
        <w:spacing w:before="200"/>
      </w:pPr>
      <w:r>
        <w:t xml:space="preserve">Legal Basis</w:t>
      </w:r>
    </w:p>
    <w:p>
      <w:pPr>
        <w:spacing w:after="80"/>
      </w:pPr>
      <w:r>
        <w:rPr>
          <w:b/>
          <w:bCs/>
        </w:rPr>
        <w:t xml:space="preserve">State duty-to-warn/protect statute relied upon: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HIPAA permits disclosure to avert a serious and imminent threat to health or safety (45 CFR 164.512(j)). Limit disclosure to what is necessary. Document contemporaneously — if you determined the duty was NOT triggered, document why.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duty-to-war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to Warn / Threat Assessment Documentation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