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Eating Disorder Assessment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clinicaldocslibrary.com/assessment-reports/eating-disorder-assessment/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Referral Information &amp; Presenting Concerns</w:t>
      </w:r>
    </w:p>
    <w:p>
      <w:pPr>
        <w:spacing w:before="60"/>
      </w:pPr>
      <w:r>
        <w:rPr>
          <w:b/>
          <w:bCs/>
        </w:rPr>
        <w:t xml:space="preserve">Referral &amp; concerns</w:t>
      </w:r>
    </w:p>
    <w:p>
      <w:pPr>
        <w:spacing w:after="120"/>
      </w:pPr>
      <w:r>
        <w:rPr>
          <w:color w:val="9CA3AF"/>
        </w:rPr>
        <w:t xml:space="preserve">[Who referred and their specific concerns; client's own account of the problem and stated goals — note discrepancies between referrer and client perspectives]</w:t>
      </w:r>
    </w:p>
    <w:p>
      <w:pPr>
        <w:pStyle w:val="Heading2"/>
        <w:spacing w:before="200"/>
      </w:pPr>
      <w:r>
        <w:t xml:space="preserve">Weight &amp; Eating History</w:t>
      </w:r>
    </w:p>
    <w:p>
      <w:pPr>
        <w:spacing w:before="60"/>
      </w:pPr>
      <w:r>
        <w:rPr>
          <w:b/>
          <w:bCs/>
        </w:rPr>
        <w:t xml:space="preserve">Weight history</w:t>
      </w:r>
    </w:p>
    <w:p>
      <w:pPr>
        <w:spacing w:after="120"/>
      </w:pPr>
      <w:r>
        <w:rPr>
          <w:color w:val="9CA3AF"/>
        </w:rPr>
        <w:t xml:space="preserve">[Highest/lowest weights (or growth-curve history for minors), weight at symptom onset, current weight — measured by whom and when, trajectory over past 3-6 months]</w:t>
      </w:r>
    </w:p>
    <w:p>
      <w:pPr>
        <w:spacing w:before="60"/>
      </w:pPr>
      <w:r>
        <w:rPr>
          <w:b/>
          <w:bCs/>
        </w:rPr>
        <w:t xml:space="preserve">Restriction &amp; intake pattern</w:t>
      </w:r>
    </w:p>
    <w:p>
      <w:pPr>
        <w:spacing w:after="120"/>
      </w:pPr>
      <w:r>
        <w:rPr>
          <w:color w:val="9CA3AF"/>
        </w:rPr>
        <w:t xml:space="preserve">[Dieting onset and progression, 24-hour intake recall, food rules and rituals, avoided foods, fluid intake]</w:t>
      </w:r>
    </w:p>
    <w:p>
      <w:pPr>
        <w:spacing w:before="60"/>
      </w:pPr>
      <w:r>
        <w:rPr>
          <w:b/>
          <w:bCs/>
        </w:rPr>
        <w:t xml:space="preserve">Binge eating</w:t>
      </w:r>
    </w:p>
    <w:p>
      <w:pPr>
        <w:spacing w:after="120"/>
      </w:pPr>
      <w:r>
        <w:rPr>
          <w:color w:val="9CA3AF"/>
        </w:rPr>
        <w:t xml:space="preserve">[Objective vs. subjective episodes, frequency, loss of control, triggers, secrecy, most recent episode]</w:t>
      </w:r>
    </w:p>
    <w:p>
      <w:pPr>
        <w:spacing w:before="60"/>
      </w:pPr>
      <w:r>
        <w:rPr>
          <w:b/>
          <w:bCs/>
        </w:rPr>
        <w:t xml:space="preserve">Compensatory behaviors</w:t>
      </w:r>
    </w:p>
    <w:p>
      <w:pPr>
        <w:spacing w:after="120"/>
      </w:pPr>
      <w:r>
        <w:rPr>
          <w:color w:val="9CA3AF"/>
        </w:rPr>
        <w:t xml:space="preserve">[For EACH: vomiting, laxatives, diuretics, diet pills, insulin omission, fasting, compulsive exercise — frequency, duration, most recent occurrence; document negatives asked about]</w:t>
      </w:r>
    </w:p>
    <w:p>
      <w:pPr>
        <w:spacing w:before="60"/>
      </w:pPr>
      <w:r>
        <w:rPr>
          <w:b/>
          <w:bCs/>
        </w:rPr>
        <w:t xml:space="preserve">Body image</w:t>
      </w:r>
    </w:p>
    <w:p>
      <w:pPr>
        <w:spacing w:after="120"/>
      </w:pPr>
      <w:r>
        <w:rPr>
          <w:color w:val="9CA3AF"/>
        </w:rPr>
        <w:t xml:space="preserve">[Overvaluation of shape/weight in self-evaluation, checking/avoidance behaviors, response to weight change]</w:t>
      </w:r>
    </w:p>
    <w:p>
      <w:pPr>
        <w:pStyle w:val="Heading2"/>
        <w:spacing w:before="200"/>
      </w:pPr>
      <w:r>
        <w:t xml:space="preserve">Screening &amp; Standardized Instruments</w:t>
      </w:r>
    </w:p>
    <w:p>
      <w:pPr>
        <w:spacing w:after="80"/>
      </w:pPr>
      <w:r>
        <w:rPr>
          <w:b/>
          <w:bCs/>
        </w:rPr>
        <w:t xml:space="preserve">Scores: </w:t>
      </w:r>
      <w:r>
        <w:rPr>
          <w:color w:val="9CA3AF"/>
        </w:rPr>
        <w:t xml:space="preserve">[EDE-Q = __ ; EAT-26 = __ ; SCOFF = __/5 ; NIAS (if ARFID suspected) = __ ; PHQ-9 = __ ; GAD-7 = __ ; C-SSRS: ___ — with dates and interpretation]</w:t>
      </w:r>
    </w:p>
    <w:p>
      <w:pPr>
        <w:pStyle w:val="Heading2"/>
        <w:spacing w:before="200"/>
      </w:pPr>
      <w:r>
        <w:t xml:space="preserve">Medical-Risk Coordination</w:t>
      </w:r>
    </w:p>
    <w:p>
      <w:pPr>
        <w:spacing w:after="80"/>
      </w:pPr>
      <w:r>
        <w:rPr>
          <w:b/>
          <w:bCs/>
        </w:rPr>
        <w:t xml:space="preserve">Medical provider &amp; last evaluation: </w:t>
      </w:r>
      <w:r>
        <w:rPr>
          <w:color w:val="9CA3AF"/>
        </w:rPr>
        <w:t xml:space="preserve">[Physician name/practice; date of most recent medical evaluation; whether it addressed the eating disorder]</w:t>
      </w:r>
    </w:p>
    <w:p>
      <w:pPr>
        <w:spacing w:after="80"/>
      </w:pPr>
      <w:r>
        <w:rPr>
          <w:b/>
          <w:bCs/>
        </w:rPr>
        <w:t xml:space="preserve">Release of information: </w:t>
      </w:r>
      <w:r>
        <w:rPr>
          <w:color w:val="9CA3AF"/>
        </w:rPr>
        <w:t xml:space="preserve">[ROI signed (date) for physician/dietitian, or refusal and clinician response]</w:t>
      </w:r>
    </w:p>
    <w:p>
      <w:pPr>
        <w:spacing w:before="60"/>
      </w:pPr>
      <w:r>
        <w:rPr>
          <w:b/>
          <w:bCs/>
        </w:rPr>
        <w:t xml:space="preserve">Findings as communicated by medical provider</w:t>
      </w:r>
    </w:p>
    <w:p>
      <w:pPr>
        <w:spacing w:after="120"/>
      </w:pPr>
      <w:r>
        <w:rPr>
          <w:color w:val="9CA3AF"/>
        </w:rPr>
        <w:t xml:space="preserve">[Vitals, weight, labs, or other findings AS REPORTED by the physician, with attribution and date — do not interpret medical data]</w:t>
      </w:r>
    </w:p>
    <w:p>
      <w:pPr>
        <w:spacing w:before="60"/>
      </w:pPr>
      <w:r>
        <w:rPr>
          <w:b/>
          <w:bCs/>
        </w:rPr>
        <w:t xml:space="preserve">Client-reported physical symptoms</w:t>
      </w:r>
    </w:p>
    <w:p>
      <w:pPr>
        <w:spacing w:after="120"/>
      </w:pPr>
      <w:r>
        <w:rPr>
          <w:color w:val="9CA3AF"/>
        </w:rPr>
        <w:t xml:space="preserve">[Dizziness, syncope, palpitations, cold intolerance, hair loss, menstrual changes, GI symptoms — documented as self-report and referred to the medical provider with date]</w:t>
      </w:r>
    </w:p>
    <w:p>
      <w:pPr>
        <w:spacing w:before="60"/>
      </w:pPr>
      <w:r>
        <w:rPr>
          <w:b/>
          <w:bCs/>
        </w:rPr>
        <w:t xml:space="preserve">Monitoring plan</w:t>
      </w:r>
    </w:p>
    <w:p>
      <w:pPr>
        <w:spacing w:after="120"/>
      </w:pPr>
      <w:r>
        <w:rPr>
          <w:color w:val="9CA3AF"/>
        </w:rPr>
        <w:t xml:space="preserve">[Who weighs the client and how often (open/blind), who monitors vitals/labs and interval, communication plan between providers, findings that trigger level-of-care re-evaluation]</w:t>
      </w:r>
    </w:p>
    <w:p>
      <w:pPr>
        <w:pStyle w:val="Heading2"/>
        <w:spacing w:before="200"/>
      </w:pPr>
      <w:r>
        <w:t xml:space="preserve">Psychiatric History &amp; Comorbidity</w:t>
      </w:r>
    </w:p>
    <w:p>
      <w:pPr>
        <w:spacing w:before="60"/>
      </w:pPr>
      <w:r>
        <w:rPr>
          <w:b/>
          <w:bCs/>
        </w:rPr>
        <w:t xml:space="preserve">Comorbidity</w:t>
      </w:r>
    </w:p>
    <w:p>
      <w:pPr>
        <w:spacing w:after="120"/>
      </w:pPr>
      <w:r>
        <w:rPr>
          <w:color w:val="9CA3AF"/>
        </w:rPr>
        <w:t xml:space="preserve">[Depression, anxiety/OCD-spectrum, trauma history, substance use (including appetite-suppressant use), self-harm, prior treatment and outcomes]</w:t>
      </w:r>
    </w:p>
    <w:p>
      <w:pPr>
        <w:pStyle w:val="Heading2"/>
        <w:spacing w:before="200"/>
      </w:pPr>
      <w:r>
        <w:t xml:space="preserve">Risk Assessment</w:t>
      </w:r>
    </w:p>
    <w:p>
      <w:pPr>
        <w:spacing w:before="60"/>
      </w:pPr>
      <w:r>
        <w:rPr>
          <w:b/>
          <w:bCs/>
        </w:rPr>
        <w:t xml:space="preserve">Risk</w:t>
      </w:r>
    </w:p>
    <w:p>
      <w:pPr>
        <w:spacing w:after="120"/>
      </w:pPr>
      <w:r>
        <w:rPr>
          <w:color w:val="9CA3AF"/>
        </w:rPr>
        <w:t xml:space="preserve">[Suicidal ideation/plan/intent/means, attempt history, protective factors; population-specific risks — exercise despite injury, driving with syncope symptoms, insulin omission; safety agreements made]</w:t>
      </w:r>
    </w:p>
    <w:p>
      <w:pPr>
        <w:pStyle w:val="Heading2"/>
        <w:spacing w:before="200"/>
      </w:pPr>
      <w:r>
        <w:t xml:space="preserve">Mental Status Examination</w:t>
      </w:r>
    </w:p>
    <w:p>
      <w:pPr>
        <w:spacing w:before="60"/>
      </w:pPr>
      <w:r>
        <w:rPr>
          <w:b/>
          <w:bCs/>
        </w:rPr>
        <w:t xml:space="preserve">MSE</w:t>
      </w:r>
    </w:p>
    <w:p>
      <w:pPr>
        <w:spacing w:after="120"/>
      </w:pPr>
      <w:r>
        <w:rPr>
          <w:color w:val="9CA3AF"/>
        </w:rPr>
        <w:t xml:space="preserve">[Appearance, cooperation, speech, mood, affect, thought process/content, cognition (starvation effects on concentration), insight into illness severity, judgment]</w:t>
      </w:r>
    </w:p>
    <w:p>
      <w:pPr>
        <w:pStyle w:val="Heading2"/>
        <w:spacing w:before="200"/>
      </w:pPr>
      <w:r>
        <w:t xml:space="preserve">Family, Social &amp; Functional Context</w:t>
      </w:r>
    </w:p>
    <w:p>
      <w:pPr>
        <w:spacing w:before="60"/>
      </w:pPr>
      <w:r>
        <w:rPr>
          <w:b/>
          <w:bCs/>
        </w:rPr>
        <w:t xml:space="preserve">Context</w:t>
      </w:r>
    </w:p>
    <w:p>
      <w:pPr>
        <w:spacing w:after="120"/>
      </w:pPr>
      <w:r>
        <w:rPr>
          <w:color w:val="9CA3AF"/>
        </w:rPr>
        <w:t xml:space="preserve">[Family attitudes toward food/weight, mealtime dynamics, athletic/aesthetic performance contexts, social avoidance of food events, academic/occupational impact; caregiver observations for minors]</w:t>
      </w:r>
    </w:p>
    <w:p>
      <w:pPr>
        <w:pStyle w:val="Heading2"/>
        <w:spacing w:before="200"/>
      </w:pPr>
      <w:r>
        <w:t xml:space="preserve">Diagnostic Formulation</w:t>
      </w:r>
    </w:p>
    <w:p>
      <w:pPr>
        <w:spacing w:before="60"/>
      </w:pPr>
      <w:r>
        <w:rPr>
          <w:b/>
          <w:bCs/>
        </w:rPr>
        <w:t xml:space="preserve">Criteria analysis</w:t>
      </w:r>
    </w:p>
    <w:p>
      <w:pPr>
        <w:spacing w:after="120"/>
      </w:pPr>
      <w:r>
        <w:rPr>
          <w:color w:val="9CA3AF"/>
        </w:rPr>
        <w:t xml:space="preserve">[Map evidence to DSM-5-TR criteria for the diagnosis under consideration (AN / BN / BED / ARFID / OSFED); specifier and severity; differentials considered including medical causes evaluated by the physician; comorbid diagnoses]</w:t>
      </w:r>
    </w:p>
    <w:p>
      <w:pPr>
        <w:spacing w:after="80"/>
      </w:pPr>
      <w:r>
        <w:rPr>
          <w:b/>
          <w:bCs/>
        </w:rPr>
        <w:t xml:space="preserve">Diagnosis (DSM-5-TR / ICD-10):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Level of Care &amp; Recommendations</w:t>
      </w:r>
    </w:p>
    <w:p>
      <w:pPr>
        <w:spacing w:before="60"/>
      </w:pPr>
      <w:r>
        <w:rPr>
          <w:b/>
          <w:bCs/>
        </w:rPr>
        <w:t xml:space="preserve">Level-of-care rationale</w:t>
      </w:r>
    </w:p>
    <w:p>
      <w:pPr>
        <w:spacing w:after="120"/>
      </w:pPr>
      <w:r>
        <w:rPr>
          <w:color w:val="9CA3AF"/>
        </w:rPr>
        <w:t xml:space="preserve">[Recommended level (outpatient / IOP / PHP / residential / inpatient) with reasoning: medical status per physician, symptom trajectory, psychiatric risk, motivation, supports; client response to recommendation]</w:t>
      </w:r>
    </w:p>
    <w:p>
      <w:pPr>
        <w:spacing w:before="60"/>
      </w:pPr>
      <w:r>
        <w:rPr>
          <w:b/>
          <w:bCs/>
        </w:rPr>
        <w:t xml:space="preserve">Treatment recommendations</w:t>
      </w:r>
    </w:p>
    <w:p>
      <w:pPr>
        <w:spacing w:after="120"/>
      </w:pPr>
      <w:r>
        <w:rPr>
          <w:color w:val="9CA3AF"/>
        </w:rPr>
        <w:t xml:space="preserve">[Therapy approach (e.g., CBT-E / FBT / DBT-informed), team composition (therapist, physician, dietitian, psychiatrist), nutrition referral, family involvement, re-evaluation date and named triggers for level-of-care review]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eating-disorder-assessm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Eating Disorder Assessment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