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Forensic Psychological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clinicaldocslibrary.com/forensic-legal/forensic-report/</w:t>
      </w:r>
    </w:p>
    <w:p>
      <w:pPr>
        <w:spacing w:after="80"/>
      </w:pPr>
      <w:r>
        <w:rPr>
          <w:b/>
          <w:bCs/>
        </w:rPr>
        <w:t xml:space="preserve">Evaluee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total contact time: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[Court, attorney, agency, or employer — the referral source is the client]</w:t>
      </w:r>
    </w:p>
    <w:p>
      <w:pPr>
        <w:spacing w:after="80"/>
      </w:pPr>
      <w:r>
        <w:rPr>
          <w:b/>
          <w:bCs/>
        </w:rPr>
        <w:t xml:space="preserve">Case / file number: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 and Legal Context</w:t>
      </w:r>
    </w:p>
    <w:p>
      <w:pPr>
        <w:spacing w:before="60"/>
      </w:pPr>
      <w:r>
        <w:rPr>
          <w:b/>
          <w:bCs/>
        </w:rPr>
        <w:t xml:space="preserve">Referral question</w:t>
      </w:r>
    </w:p>
    <w:p>
      <w:pPr>
        <w:spacing w:after="120"/>
      </w:pPr>
      <w:r>
        <w:rPr>
          <w:color w:val="9CA3AF"/>
        </w:rPr>
        <w:t xml:space="preserve">[The specific psycholegal question and the legal standard that applies (e.g., Dusky, best interests of the child, extreme hardship) — this frames the entire report]</w:t>
      </w:r>
    </w:p>
    <w:p>
      <w:pPr>
        <w:pStyle w:val="Heading2"/>
        <w:spacing w:before="200"/>
      </w:pPr>
      <w:r>
        <w:t xml:space="preserve">Notification of Rights and Forensic Nature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and the right to consult an attorney before participating.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Relevant Background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[Psychiatric, medical, developmental, educational, employment, substance use, legal, family, and social history relevant to the referral question — distinguish self-report from records and collateral sources, especially where they diverge]</w:t>
      </w:r>
    </w:p>
    <w:p>
      <w:pPr>
        <w:pStyle w:val="Heading2"/>
        <w:spacing w:before="200"/>
      </w:pPr>
      <w:r>
        <w:t xml:space="preserve">Behavioral Observations and Mental Status Examination</w:t>
      </w:r>
    </w:p>
    <w:p>
      <w:pPr>
        <w:spacing w:before="60"/>
      </w:pPr>
      <w:r>
        <w:rPr>
          <w:b/>
          <w:bCs/>
        </w:rPr>
        <w:t xml:space="preserve">Observations / MSE</w:t>
      </w:r>
    </w:p>
    <w:p>
      <w:pPr>
        <w:spacing w:after="120"/>
      </w:pPr>
      <w:r>
        <w:rPr>
          <w:color w:val="9CA3AF"/>
        </w:rPr>
        <w:t xml:space="preserve">[Appearance, behavior, cooperation, speech, mood/affect, thought process and content, perception, orientation, attention, memory, insight, judgment; note consistency of presentation across sessions]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[All instruments with standard scores and validity indicators, interpreted in the context of the referral question and integrated with interview and observational data]</w:t>
      </w:r>
    </w:p>
    <w:p>
      <w:pPr>
        <w:pStyle w:val="Heading2"/>
        <w:spacing w:before="200"/>
      </w:pPr>
      <w:r>
        <w:t xml:space="preserve">Response Validity Assessment</w:t>
      </w:r>
    </w:p>
    <w:p>
      <w:pPr>
        <w:spacing w:before="60"/>
      </w:pPr>
      <w:r>
        <w:rPr>
          <w:b/>
          <w:bCs/>
        </w:rPr>
        <w:t xml:space="preserve">Response validity</w:t>
      </w:r>
    </w:p>
    <w:p>
      <w:pPr>
        <w:spacing w:after="120"/>
      </w:pPr>
      <w:r>
        <w:rPr>
          <w:color w:val="9CA3AF"/>
        </w:rPr>
        <w:t xml:space="preserve">[Explicit assessment of response style — validity scales, performance validity tests, behavioral observation, and consistency with collateral information; every forensic evaluee has a stake in the outcome]</w:t>
      </w:r>
    </w:p>
    <w:p>
      <w:pPr>
        <w:pStyle w:val="Heading2"/>
        <w:spacing w:before="200"/>
      </w:pPr>
      <w:r>
        <w:t xml:space="preserve">Integration and Formulation</w:t>
      </w:r>
    </w:p>
    <w:p>
      <w:pPr>
        <w:spacing w:before="60"/>
      </w:pPr>
      <w:r>
        <w:rPr>
          <w:b/>
          <w:bCs/>
        </w:rPr>
        <w:t xml:space="preserve">Formulation</w:t>
      </w:r>
    </w:p>
    <w:p>
      <w:pPr>
        <w:spacing w:after="120"/>
      </w:pPr>
      <w:r>
        <w:rPr>
          <w:color w:val="9CA3AF"/>
        </w:rPr>
        <w:t xml:space="preserve">[Synthesize all data into a formulation that bridges the clinical findings and the psycholegal question — present data before interpretation so the reader can follow the reasoning]</w:t>
      </w:r>
    </w:p>
    <w:p>
      <w:pPr>
        <w:pStyle w:val="Heading2"/>
        <w:spacing w:before="200"/>
      </w:pPr>
      <w:r>
        <w:t xml:space="preserve">Psycholegal Opinion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[Stated clearly, to a reasonable degree of psychological certainty, and connected directly to the data; if the legal threshold is or is not met, say why. If you cannot form an opinion with reasonable certainty, say so and explain]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[Specific, actionable recommendations where the evaluation type calls for them — omit if not conventional for this referral]</w:t>
      </w:r>
    </w:p>
    <w:p>
      <w:pPr>
        <w:pStyle w:val="Heading2"/>
        <w:spacing w:before="200"/>
      </w:pPr>
      <w:r>
        <w:t xml:space="preserve">Limitations</w:t>
      </w:r>
    </w:p>
    <w:p>
      <w:pPr>
        <w:spacing w:after="120"/>
      </w:pPr>
      <w:r>
        <w:rPr>
          <w:color w:val="9CA3AF"/>
        </w:rPr>
        <w:t xml:space="preserve">[Records not obtained, collateral sources unavailable, language or cultural factors affecting validity — and their potential impact on the conclusions]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forensic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Forensic Psychological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