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Gender-Affirming Care Referral Letter (WPATH SOC-8)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clinicaldocslibrary.com/clinical-letters/gender-affirming-care-letter/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Use the client's affirmed name and pronouns throughout; if a legal name is required for insurance, mark it 'for identification purposes only.' Verify the receiving provider's and insurer's specific requirements (some genital surgeries require two independent assessments).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[Prescribing physician / surgeon / program,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[Referral for — requested treatment (e.g., hormone therapy / specific procedure)]</w:t>
      </w:r>
    </w:p>
    <w:p>
      <w:pPr>
        <w:spacing w:after="80"/>
      </w:pPr>
      <w:r>
        <w:rPr>
          <w:b/>
          <w:bCs/>
        </w:rPr>
        <w:t xml:space="preserve">Client: </w:t>
      </w:r>
      <w:r>
        <w:rPr>
          <w:color w:val="9CA3AF"/>
        </w:rPr>
        <w:t xml:space="preserve">[Affirmed name / pronouns / date of birth / legal name if required for identification only]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Provider Qualifications</w:t>
      </w:r>
    </w:p>
    <w:p>
      <w:pPr>
        <w:spacing w:before="60"/>
      </w:pPr>
      <w:r>
        <w:rPr>
          <w:b/>
          <w:bCs/>
        </w:rPr>
        <w:t xml:space="preserve">Competence</w:t>
      </w:r>
    </w:p>
    <w:p>
      <w:pPr>
        <w:spacing w:after="120"/>
      </w:pPr>
      <w:r>
        <w:rPr>
          <w:color w:val="9CA3AF"/>
        </w:rPr>
        <w:t xml:space="preserve">[Training, continuing education, and years of experience with transgender and gender diverse clients — receiving providers specifically look for this]</w:t>
      </w:r>
    </w:p>
    <w:p>
      <w:pPr>
        <w:pStyle w:val="Heading2"/>
        <w:spacing w:before="200"/>
      </w:pPr>
      <w:r>
        <w:t xml:space="preserve">Clinical Relationship</w:t>
      </w:r>
    </w:p>
    <w:p>
      <w:pPr>
        <w:spacing w:before="60"/>
      </w:pPr>
      <w:r>
        <w:rPr>
          <w:b/>
          <w:bCs/>
        </w:rPr>
        <w:t xml:space="preserve">Clinical relationship</w:t>
      </w:r>
    </w:p>
    <w:p>
      <w:pPr>
        <w:spacing w:after="120"/>
      </w:pPr>
      <w:r>
        <w:rPr>
          <w:color w:val="9CA3AF"/>
        </w:rPr>
        <w:t xml:space="preserve">[Start date, number of sessions, and the gender identity assessment conducted]</w:t>
      </w:r>
    </w:p>
    <w:p>
      <w:pPr>
        <w:pStyle w:val="Heading2"/>
        <w:spacing w:before="200"/>
      </w:pPr>
      <w:r>
        <w:t xml:space="preserve">Gender Identity &amp; History</w:t>
      </w:r>
    </w:p>
    <w:p>
      <w:pPr>
        <w:spacing w:before="60"/>
      </w:pPr>
      <w:r>
        <w:rPr>
          <w:b/>
          <w:bCs/>
        </w:rPr>
        <w:t xml:space="preserve">Identity and history</w:t>
      </w:r>
    </w:p>
    <w:p>
      <w:pPr>
        <w:spacing w:after="120"/>
      </w:pPr>
      <w:r>
        <w:rPr>
          <w:color w:val="9CA3AF"/>
        </w:rPr>
        <w:t xml:space="preserve">[Client's gender identity; onset and duration of gender incongruence; social transition steps taken (name/pronoun use, documents, living in affirmed gender role) and their effect on well-being]</w:t>
      </w:r>
    </w:p>
    <w:p>
      <w:pPr>
        <w:pStyle w:val="Heading2"/>
        <w:spacing w:before="200"/>
      </w:pPr>
      <w:r>
        <w:t xml:space="preserve">Diagnostic Impression</w:t>
      </w:r>
    </w:p>
    <w:p>
      <w:pPr>
        <w:spacing w:after="80"/>
      </w:pPr>
      <w:r>
        <w:rPr>
          <w:b/>
          <w:bCs/>
        </w:rPr>
        <w:t xml:space="preserve">Diagnosis: </w:t>
      </w:r>
      <w:r>
        <w:rPr>
          <w:color w:val="9CA3AF"/>
        </w:rPr>
        <w:t xml:space="preserve">[Gender Dysphoria (F64.0) with clinical support, if present and required by the insurer/program]</w:t>
      </w:r>
    </w:p>
    <w:p>
      <w:pPr>
        <w:pStyle w:val="Heading2"/>
        <w:spacing w:before="200"/>
      </w:pPr>
      <w:r>
        <w:t xml:space="preserve">Assessment of WPATH SOC-8 Criteria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[Gender incongruence is marked and sustained — evidence of persistence and stability across contexts and time]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[Diagnostic criteria met, where applicable]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[Capacity to provide informed consent — client understands the expected effects, timeline, risks, irreversible aspects, fertility implications, and monitoring requirements of the specific treatment]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[Co-occurring mental health concerns are reasonably well managed — name conditions if relevant and explain why they do not impair capacity or readiness]</w:t>
      </w:r>
    </w:p>
    <w:p>
      <w:pPr>
        <w:pStyle w:val="Heading2"/>
        <w:spacing w:before="200"/>
      </w:pPr>
      <w:r>
        <w:t xml:space="preserve">Recommendation</w:t>
      </w:r>
    </w:p>
    <w:p>
      <w:pPr>
        <w:spacing w:after="120"/>
      </w:pPr>
      <w:r>
        <w:rPr>
          <w:color w:val="9CA3AF"/>
        </w:rPr>
        <w:t xml:space="preserve">[Explicit statement that you recommend the client for the requested treatment — avoid gatekeeping language; assess and document, do not 'validate' identity]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[Offer to consult or provide additional information]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gender-affirming-care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Gender-Affirming Care Referral Letter (WPATH SOC-8)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