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Guardianship / Conservatorship Evaluation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clinicaldocslibrary.com/forensic-legal/guardianship-evaluation/</w:t>
      </w:r>
    </w:p>
    <w:p>
      <w:pPr>
        <w:spacing w:after="80"/>
      </w:pPr>
      <w:r>
        <w:rPr>
          <w:b/>
          <w:bCs/>
        </w:rPr>
        <w:t xml:space="preserve">Proposed ward / age / current living situation: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Petitioner and relationship to proposed ward: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Type of guardianship sought: </w:t>
      </w:r>
      <w:r>
        <w:rPr>
          <w:color w:val="9CA3AF"/>
        </w:rPr>
        <w:t xml:space="preserve">[Person, estate, or both; full or limited]</w:t>
      </w:r>
    </w:p>
    <w:p>
      <w:pPr>
        <w:spacing w:after="80"/>
      </w:pPr>
      <w:r>
        <w:rPr>
          <w:b/>
          <w:bCs/>
        </w:rPr>
        <w:t xml:space="preserve">Referral source / court: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[Purpose, non-confidential nature, and recipients of the report, explained in language appropriate to the proposed ward's cognitive level; document their apparent understanding, or the observation that capacity to understand the notification is lacking]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Medical and Psychiatric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[Conditions affecting cognition: dementia type and stage, cerebrovascular disease, TBI, psychiatric conditions, medications, substance use; neuroimaging and laboratory findings if available]</w:t>
      </w:r>
    </w:p>
    <w:p>
      <w:pPr>
        <w:pStyle w:val="Heading2"/>
        <w:spacing w:before="200"/>
      </w:pPr>
      <w:r>
        <w:t xml:space="preserve">Cognitive and Neuropsychological Assessment</w:t>
      </w:r>
    </w:p>
    <w:p>
      <w:pPr>
        <w:spacing w:before="60"/>
      </w:pPr>
      <w:r>
        <w:rPr>
          <w:b/>
          <w:bCs/>
        </w:rPr>
        <w:t xml:space="preserve">Cognitive testing</w:t>
      </w:r>
    </w:p>
    <w:p>
      <w:pPr>
        <w:spacing w:after="120"/>
      </w:pPr>
      <w:r>
        <w:rPr>
          <w:color w:val="9CA3AF"/>
        </w:rPr>
        <w:t xml:space="preserve">[Standardized measures appropriate to age, education, sensory abilities, and culture — orientation, attention, memory, language, visuospatial abilities, executive functioning — with scores]</w:t>
      </w:r>
    </w:p>
    <w:p>
      <w:pPr>
        <w:pStyle w:val="Heading2"/>
        <w:spacing w:before="200"/>
      </w:pPr>
      <w:r>
        <w:t xml:space="preserve">Functional Capacity Assessment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Capacity is decision-specific, not global — assess each domain separately and document retained abilities as well as deficits.</w:t>
      </w:r>
    </w:p>
    <w:p>
      <w:pPr>
        <w:spacing w:before="60"/>
      </w:pPr>
      <w:r>
        <w:rPr>
          <w:b/>
          <w:bCs/>
        </w:rPr>
        <w:t xml:space="preserve">Financial management</w:t>
      </w:r>
    </w:p>
    <w:p>
      <w:pPr>
        <w:spacing w:after="120"/>
      </w:pPr>
      <w:r>
        <w:rPr>
          <w:color w:val="9CA3AF"/>
        </w:rPr>
        <w:t xml:space="preserve">[Understanding of assets and transactions, ability to manage bills and accounts, evidence of mismanagement or exploitation]</w:t>
      </w:r>
    </w:p>
    <w:p>
      <w:pPr>
        <w:spacing w:before="60"/>
      </w:pPr>
      <w:r>
        <w:rPr>
          <w:b/>
          <w:bCs/>
        </w:rPr>
        <w:t xml:space="preserve">Medical decision-making</w:t>
      </w:r>
    </w:p>
    <w:p>
      <w:pPr>
        <w:spacing w:after="120"/>
      </w:pPr>
      <w:r>
        <w:rPr>
          <w:color w:val="9CA3AF"/>
        </w:rPr>
        <w:t xml:space="preserve">[Understanding of conditions and medications; ability to weigh risks and benefits of treatment; retained ability to express basic preferences]</w:t>
      </w:r>
    </w:p>
    <w:p>
      <w:pPr>
        <w:spacing w:before="60"/>
      </w:pPr>
      <w:r>
        <w:rPr>
          <w:b/>
          <w:bCs/>
        </w:rPr>
        <w:t xml:space="preserve">Daily living and personal safety</w:t>
      </w:r>
    </w:p>
    <w:p>
      <w:pPr>
        <w:spacing w:after="120"/>
      </w:pPr>
      <w:r>
        <w:rPr>
          <w:color w:val="9CA3AF"/>
        </w:rPr>
        <w:t xml:space="preserve">[Self-care, medication management, household safety, wandering or hazard awareness, retained independent abilities]</w:t>
      </w:r>
    </w:p>
    <w:p>
      <w:pPr>
        <w:spacing w:before="60"/>
      </w:pPr>
      <w:r>
        <w:rPr>
          <w:b/>
          <w:bCs/>
        </w:rPr>
        <w:t xml:space="preserve">Vulnerability to exploitation or undue influence</w:t>
      </w:r>
    </w:p>
    <w:p>
      <w:pPr>
        <w:spacing w:after="120"/>
      </w:pPr>
      <w:r>
        <w:rPr>
          <w:color w:val="9CA3AF"/>
        </w:rPr>
        <w:t xml:space="preserve">[Susceptibility to solicitation and pressure, ability to identify risks; documented instances if any]</w:t>
      </w:r>
    </w:p>
    <w:p>
      <w:pPr>
        <w:pStyle w:val="Heading2"/>
        <w:spacing w:before="200"/>
      </w:pPr>
      <w:r>
        <w:t xml:space="preserve">Least Restrictive Alternative Analysis</w:t>
      </w:r>
    </w:p>
    <w:p>
      <w:pPr>
        <w:spacing w:before="60"/>
      </w:pPr>
      <w:r>
        <w:rPr>
          <w:b/>
          <w:bCs/>
        </w:rPr>
        <w:t xml:space="preserve">Analysis</w:t>
      </w:r>
    </w:p>
    <w:p>
      <w:pPr>
        <w:spacing w:after="120"/>
      </w:pPr>
      <w:r>
        <w:rPr>
          <w:color w:val="9CA3AF"/>
        </w:rPr>
        <w:t xml:space="preserve">[Whether powers of attorney, health care proxy, representative payee, supported decision-making, or enhanced supports could adequately protect the proposed ward — and if full or limited guardianship is recommended, why lesser measures are insufficient]</w:t>
      </w:r>
    </w:p>
    <w:p>
      <w:pPr>
        <w:pStyle w:val="Heading2"/>
        <w:spacing w:before="200"/>
      </w:pPr>
      <w:r>
        <w:t xml:space="preserve">Proposed Ward's Perspective</w:t>
      </w:r>
    </w:p>
    <w:p>
      <w:pPr>
        <w:spacing w:before="60"/>
      </w:pPr>
      <w:r>
        <w:rPr>
          <w:b/>
          <w:bCs/>
        </w:rPr>
        <w:t xml:space="preserve">Perspective</w:t>
      </w:r>
    </w:p>
    <w:p>
      <w:pPr>
        <w:spacing w:after="120"/>
      </w:pPr>
      <w:r>
        <w:rPr>
          <w:color w:val="9CA3AF"/>
        </w:rPr>
        <w:t xml:space="preserve">[The proposed ward's understanding of the petition, their wishes, preferences, and objections — documented even when impairment is severe]</w:t>
      </w:r>
    </w:p>
    <w:p>
      <w:pPr>
        <w:pStyle w:val="Heading2"/>
        <w:spacing w:before="200"/>
      </w:pPr>
      <w:r>
        <w:t xml:space="preserve">Opinion and Recommendations</w:t>
      </w:r>
    </w:p>
    <w:p>
      <w:pPr>
        <w:spacing w:before="60"/>
      </w:pPr>
      <w:r>
        <w:rPr>
          <w:b/>
          <w:bCs/>
        </w:rPr>
        <w:t xml:space="preserve">Opinion</w:t>
      </w:r>
    </w:p>
    <w:p>
      <w:pPr>
        <w:spacing w:after="120"/>
      </w:pPr>
      <w:r>
        <w:rPr>
          <w:color w:val="9CA3AF"/>
        </w:rPr>
        <w:t xml:space="preserve">[Capacity opinion by domain; recommended scope of guardianship or conservatorship (specify which domains require a substitute decision-maker); rights and choices that should be preserved]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guardianship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Guardianship / Conservatorship Evaluation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