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Juvenile Offender Psychological Evaluation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clinicaldocslibrary.com/forensic-legal/juvenile-evaluation/</w:t>
      </w:r>
    </w:p>
    <w:p>
      <w:pPr>
        <w:spacing w:after="80"/>
      </w:pPr>
      <w:r>
        <w:rPr>
          <w:b/>
          <w:bCs/>
        </w:rPr>
        <w:t xml:space="preserve">Youth / date of birth / age / grade: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Current placement: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Charges or adjudication: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 / referral questions: </w:t>
      </w:r>
      <w:r>
        <w:rPr>
          <w:color w:val="9CA3AF"/>
        </w:rPr>
        <w:t xml:space="preserve">[e.g., disposition guidance, transfer/waiver criteria, risk assessment, treatment needs, amenability]</w:t>
      </w:r>
    </w:p>
    <w:p>
      <w:pPr>
        <w:spacing w:after="80"/>
      </w:pPr>
      <w:r>
        <w:rPr>
          <w:b/>
          <w:bCs/>
        </w:rPr>
        <w:t xml:space="preserve">Evaluator / credentials / license: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 / date of report: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Notification and Assent</w:t>
      </w:r>
    </w:p>
    <w:p>
      <w:pPr>
        <w:spacing w:before="60"/>
      </w:pPr>
      <w:r>
        <w:rPr>
          <w:b/>
          <w:bCs/>
        </w:rPr>
        <w:t xml:space="preserve">Notification</w:t>
      </w:r>
    </w:p>
    <w:p>
      <w:pPr>
        <w:spacing w:after="120"/>
      </w:pPr>
      <w:r>
        <w:rPr>
          <w:color w:val="9CA3AF"/>
        </w:rPr>
        <w:t xml:space="preserve">[Consent from parent/guardian (or authorization from counsel) and the youth's assent; notification delivered in developmentally appropriate language, with the youth's understanding assessed by having them explain it back — document both]</w:t>
      </w:r>
    </w:p>
    <w:p>
      <w:pPr>
        <w:pStyle w:val="Heading2"/>
        <w:spacing w:before="200"/>
      </w:pPr>
      <w:r>
        <w:t xml:space="preserve">Sources of Information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[Clinical interviews — dates, durations, locations]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[Records reviewed — type, source, date range, page counts]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[Psychological tests / instruments administered]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[Collateral contacts — name, role, date, duration]</w:t>
      </w:r>
    </w:p>
    <w:p>
      <w:pPr>
        <w:pStyle w:val="Heading2"/>
        <w:spacing w:before="200"/>
      </w:pPr>
      <w:r>
        <w:t xml:space="preserve">Developmental and Family History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[Prenatal/perinatal factors, milestones, attachment and caregiving history, family functioning, maltreatment and trauma exposure, placement history, educational trajectory and special education services, peer relationships, onset of behavioral problems]</w:t>
      </w:r>
    </w:p>
    <w:p>
      <w:pPr>
        <w:pStyle w:val="Heading2"/>
        <w:spacing w:before="200"/>
      </w:pPr>
      <w:r>
        <w:t xml:space="preserve">Offense History and Circumstances</w:t>
      </w:r>
    </w:p>
    <w:p>
      <w:pPr>
        <w:spacing w:before="60"/>
      </w:pPr>
      <w:r>
        <w:rPr>
          <w:b/>
          <w:bCs/>
        </w:rPr>
        <w:t xml:space="preserve">Offense analysis</w:t>
      </w:r>
    </w:p>
    <w:p>
      <w:pPr>
        <w:spacing w:after="120"/>
      </w:pPr>
      <w:r>
        <w:rPr>
          <w:color w:val="9CA3AF"/>
        </w:rPr>
        <w:t xml:space="preserve">[Index offense and prior delinquency history: circumstances, the youth's role, peer/co-participant influence, and the youth's understanding of wrongfulness — interpreted through a developmental lens]</w:t>
      </w:r>
    </w:p>
    <w:p>
      <w:pPr>
        <w:pStyle w:val="Heading2"/>
        <w:spacing w:before="200"/>
      </w:pPr>
      <w:r>
        <w:t xml:space="preserve">Psychological Testing</w:t>
      </w:r>
    </w:p>
    <w:p>
      <w:pPr>
        <w:spacing w:before="60"/>
      </w:pPr>
      <w:r>
        <w:rPr>
          <w:b/>
          <w:bCs/>
        </w:rPr>
        <w:t xml:space="preserve">Testing</w:t>
      </w:r>
    </w:p>
    <w:p>
      <w:pPr>
        <w:spacing w:after="120"/>
      </w:pPr>
      <w:r>
        <w:rPr>
          <w:color w:val="9CA3AF"/>
        </w:rPr>
        <w:t xml:space="preserve">[Age-appropriate instruments: cognitive and achievement measures, personality/psychopathology (adolescent-normed), trauma measures, and adaptive functioning — with validity indicators. Do not use adult-normed risk instruments]</w:t>
      </w:r>
    </w:p>
    <w:p>
      <w:pPr>
        <w:pStyle w:val="Heading2"/>
        <w:spacing w:before="200"/>
      </w:pPr>
      <w:r>
        <w:t xml:space="preserve">Risk and Needs Assessment</w:t>
      </w:r>
    </w:p>
    <w:p>
      <w:pPr>
        <w:spacing w:before="60"/>
      </w:pPr>
      <w:r>
        <w:rPr>
          <w:b/>
          <w:bCs/>
        </w:rPr>
        <w:t xml:space="preserve">Structured risk assessment</w:t>
      </w:r>
    </w:p>
    <w:p>
      <w:pPr>
        <w:spacing w:after="120"/>
      </w:pPr>
      <w:r>
        <w:rPr>
          <w:color w:val="9CA3AF"/>
        </w:rPr>
        <w:t xml:space="preserve">[Validated juvenile instrument (e.g., SAVRY, YLS/CMI): historical, social/contextual, and individual/clinical risk factors; identified criminogenic needs that intervention can change]</w:t>
      </w:r>
    </w:p>
    <w:p>
      <w:pPr>
        <w:spacing w:before="60"/>
      </w:pPr>
      <w:r>
        <w:rPr>
          <w:b/>
          <w:bCs/>
        </w:rPr>
        <w:t xml:space="preserve">Protective factors</w:t>
      </w:r>
    </w:p>
    <w:p>
      <w:pPr>
        <w:spacing w:after="120"/>
      </w:pPr>
      <w:r>
        <w:rPr>
          <w:color w:val="9CA3AF"/>
        </w:rPr>
        <w:t xml:space="preserve">[Prosocial involvement, supportive adults, intelligence, motivation, engagement in school or activities — an evaluation that catalogs risks without protective factors is incomplete]</w:t>
      </w:r>
    </w:p>
    <w:p>
      <w:pPr>
        <w:pStyle w:val="Heading2"/>
        <w:spacing w:before="200"/>
      </w:pPr>
      <w:r>
        <w:t xml:space="preserve">Amenability to Treatment</w:t>
      </w:r>
    </w:p>
    <w:p>
      <w:pPr>
        <w:spacing w:before="60"/>
      </w:pPr>
      <w:r>
        <w:rPr>
          <w:b/>
          <w:bCs/>
        </w:rPr>
        <w:t xml:space="preserve">Amenability</w:t>
      </w:r>
    </w:p>
    <w:p>
      <w:pPr>
        <w:spacing w:after="120"/>
      </w:pPr>
      <w:r>
        <w:rPr>
          <w:color w:val="9CA3AF"/>
        </w:rPr>
        <w:t xml:space="preserve">[Treatable conditions, cognitive capacity to engage, prior treatment response, motivation, family support, and the time remaining in juvenile jurisdiction — the match between needs and the system's capacity to address them]</w:t>
      </w:r>
    </w:p>
    <w:p>
      <w:pPr>
        <w:pStyle w:val="Heading2"/>
        <w:spacing w:before="200"/>
      </w:pPr>
      <w:r>
        <w:t xml:space="preserve">Diagnoses</w:t>
      </w:r>
    </w:p>
    <w:p>
      <w:pPr>
        <w:spacing w:after="80"/>
      </w:pPr>
      <w:r>
        <w:rPr>
          <w:b/>
          <w:bCs/>
        </w:rPr>
        <w:t xml:space="preserve">Diagnoses (DSM-5-TR / ICD-10):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Opinion and Treatment Recommendations</w:t>
      </w:r>
    </w:p>
    <w:p>
      <w:pPr>
        <w:spacing w:before="60"/>
      </w:pPr>
      <w:r>
        <w:rPr>
          <w:b/>
          <w:bCs/>
        </w:rPr>
        <w:t xml:space="preserve">Recommendations</w:t>
      </w:r>
    </w:p>
    <w:p>
      <w:pPr>
        <w:spacing w:after="120"/>
      </w:pPr>
      <w:r>
        <w:rPr>
          <w:color w:val="9CA3AF"/>
        </w:rPr>
        <w:t xml:space="preserve">[Specific, evidence-based interventions matched to identified needs (type, intensity, duration, setting, family involvement); opinion on whether needs can be addressed within the juvenile system, integrating adolescent developmental science]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juvenile-evalu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Juvenile Offender Psychological Evaluation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