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Learning Disability (SLD) Assessment Report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clinicaldocslibrary.com/assessment-reports/learning-disability-assessment/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Report: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Referral Source: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Evaluator / Credentials: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Grade / School: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Reason for Referral</w:t>
      </w:r>
    </w:p>
    <w:p>
      <w:pPr>
        <w:spacing w:before="60"/>
      </w:pPr>
      <w:r>
        <w:rPr>
          <w:b/>
          <w:bCs/>
        </w:rPr>
        <w:t xml:space="preserve">Referral</w:t>
      </w:r>
    </w:p>
    <w:p>
      <w:pPr>
        <w:spacing w:after="120"/>
      </w:pPr>
      <w:r>
        <w:rPr>
          <w:color w:val="9CA3AF"/>
        </w:rPr>
        <w:t xml:space="preserve">[Specific academic concerns and referral questions; interventions attempted (RTI tier, duration, fidelity, outcome); prior evaluations or services]</w:t>
      </w:r>
    </w:p>
    <w:p>
      <w:pPr>
        <w:pStyle w:val="Heading2"/>
        <w:spacing w:before="200"/>
      </w:pPr>
      <w:r>
        <w:t xml:space="preserve">Developmental &amp; Educational History</w:t>
      </w:r>
    </w:p>
    <w:p>
      <w:pPr>
        <w:spacing w:before="60"/>
      </w:pPr>
      <w:r>
        <w:rPr>
          <w:b/>
          <w:bCs/>
        </w:rPr>
        <w:t xml:space="preserve">History</w:t>
      </w:r>
    </w:p>
    <w:p>
      <w:pPr>
        <w:spacing w:after="120"/>
      </w:pPr>
      <w:r>
        <w:rPr>
          <w:color w:val="9CA3AF"/>
        </w:rPr>
        <w:t xml:space="preserve">[Milestones (especially speech/language), family history of LD/ADHD/language disorder, schools attended, retention, tutoring, ELL status, response-to-intervention data — rule out inadequate instruction]</w:t>
      </w:r>
    </w:p>
    <w:p>
      <w:pPr>
        <w:pStyle w:val="Heading2"/>
        <w:spacing w:before="200"/>
      </w:pPr>
      <w:r>
        <w:t xml:space="preserve">Behavioral Observations</w:t>
      </w:r>
    </w:p>
    <w:p>
      <w:pPr>
        <w:spacing w:before="60"/>
      </w:pPr>
      <w:r>
        <w:rPr>
          <w:b/>
          <w:bCs/>
        </w:rPr>
        <w:t xml:space="preserve">Observations</w:t>
      </w:r>
    </w:p>
    <w:p>
      <w:pPr>
        <w:spacing w:after="120"/>
      </w:pPr>
      <w:r>
        <w:rPr>
          <w:color w:val="9CA3AF"/>
        </w:rPr>
        <w:t xml:space="preserve">[Approach to easy vs. challenging tasks, frustration tolerance, attention, effort; validity statement]</w:t>
      </w:r>
    </w:p>
    <w:p>
      <w:pPr>
        <w:pStyle w:val="Heading2"/>
        <w:spacing w:before="200"/>
      </w:pPr>
      <w:r>
        <w:t xml:space="preserve">Instruments Administered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[Cognitive measure — e.g., WISC-V / WAIS-IV]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[Achievement battery with component-level subtests — e.g., WIAT-4 / WJ-IV ACH]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[Processing measures per referral area — e.g., CTOPP-2, RAN/RAS, Beery VMI, KeyMath-3]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[Behavioral/emotional screener and teacher/parent input]</w:t>
      </w:r>
    </w:p>
    <w:p>
      <w:pPr>
        <w:pStyle w:val="Heading2"/>
        <w:spacing w:before="200"/>
      </w:pPr>
      <w:r>
        <w:t xml:space="preserve">Cognitive Results</w:t>
      </w:r>
    </w:p>
    <w:p>
      <w:pPr>
        <w:spacing w:before="60"/>
      </w:pPr>
      <w:r>
        <w:rPr>
          <w:b/>
          <w:bCs/>
        </w:rPr>
        <w:t xml:space="preserve">Cognitive profile</w:t>
      </w:r>
    </w:p>
    <w:p>
      <w:pPr>
        <w:spacing w:after="120"/>
      </w:pPr>
      <w:r>
        <w:rPr>
          <w:color w:val="9CA3AF"/>
        </w:rPr>
        <w:t xml:space="preserve">[FSIQ, index scores, GAI when index variability suppresses the FSIQ; personal strengths and weaknesses with base rates]</w:t>
      </w:r>
    </w:p>
    <w:p>
      <w:pPr>
        <w:pStyle w:val="Heading2"/>
        <w:spacing w:before="200"/>
      </w:pPr>
      <w:r>
        <w:t xml:space="preserve">Achievement Results</w:t>
      </w:r>
    </w:p>
    <w:p>
      <w:pPr>
        <w:spacing w:before="60"/>
      </w:pPr>
      <w:r>
        <w:rPr>
          <w:b/>
          <w:bCs/>
        </w:rPr>
        <w:t xml:space="preserve">Achievement profile</w:t>
      </w:r>
    </w:p>
    <w:p>
      <w:pPr>
        <w:spacing w:after="120"/>
      </w:pPr>
      <w:r>
        <w:rPr>
          <w:color w:val="9CA3AF"/>
        </w:rPr>
        <w:t xml:space="preserve">[Standard scores and percentiles by domain with component skills broken out (decoding, fluency, comprehension; calculation, problem solving, fact fluency; spelling, composition)]</w:t>
      </w:r>
    </w:p>
    <w:p>
      <w:pPr>
        <w:pStyle w:val="Heading2"/>
        <w:spacing w:before="200"/>
      </w:pPr>
      <w:r>
        <w:t xml:space="preserve">Processing Results</w:t>
      </w:r>
    </w:p>
    <w:p>
      <w:pPr>
        <w:spacing w:before="60"/>
      </w:pPr>
      <w:r>
        <w:rPr>
          <w:b/>
          <w:bCs/>
        </w:rPr>
        <w:t xml:space="preserve">Processing profile</w:t>
      </w:r>
    </w:p>
    <w:p>
      <w:pPr>
        <w:spacing w:after="120"/>
      </w:pPr>
      <w:r>
        <w:rPr>
          <w:color w:val="9CA3AF"/>
        </w:rPr>
        <w:t xml:space="preserve">[Scores in the processing area(s) hypothesized to underlie the achievement deficit]</w:t>
      </w:r>
    </w:p>
    <w:p>
      <w:pPr>
        <w:pStyle w:val="Heading2"/>
        <w:spacing w:before="200"/>
      </w:pPr>
      <w:r>
        <w:t xml:space="preserve">Identification Model Analysis</w:t>
      </w:r>
    </w:p>
    <w:p>
      <w:pPr>
        <w:spacing w:before="60"/>
      </w:pPr>
      <w:r>
        <w:rPr>
          <w:b/>
          <w:bCs/>
        </w:rPr>
        <w:t xml:space="preserve">Analysis</w:t>
      </w:r>
    </w:p>
    <w:p>
      <w:pPr>
        <w:spacing w:after="120"/>
      </w:pPr>
      <w:r>
        <w:rPr>
          <w:color w:val="9CA3AF"/>
        </w:rPr>
        <w:t xml:space="preserve">[State the model (PSW / ability-achievement discrepancy / RTI) and walk through it: otherwise-average ability, the specific processing weakness, the concordant achievement deficit, and discordance with intact areas — with significance and base rates]</w:t>
      </w:r>
    </w:p>
    <w:p>
      <w:pPr>
        <w:pStyle w:val="Heading2"/>
        <w:spacing w:before="200"/>
      </w:pPr>
      <w:r>
        <w:t xml:space="preserve">Diagnostic Impressions</w:t>
      </w:r>
    </w:p>
    <w:p>
      <w:pPr>
        <w:spacing w:after="80"/>
      </w:pPr>
      <w:r>
        <w:rPr>
          <w:b/>
          <w:bCs/>
        </w:rPr>
        <w:t xml:space="preserve">Diagnosis: </w:t>
      </w:r>
      <w:r>
        <w:rPr>
          <w:color w:val="9CA3AF"/>
        </w:rPr>
        <w:t xml:space="preserve">[Specific Learning Disorder with impairment in ___ (ICD-10 code), specifiers and severity (mild/moderate/severe); conditions ruled out]</w:t>
      </w:r>
    </w:p>
    <w:p>
      <w:pPr>
        <w:spacing w:after="80"/>
      </w:pPr>
      <w:r>
        <w:rPr>
          <w:b/>
          <w:bCs/>
        </w:rPr>
        <w:t xml:space="preserve">Educational classification recommendation: </w:t>
      </w:r>
      <w:r>
        <w:rPr>
          <w:color w:val="9CA3AF"/>
        </w:rPr>
        <w:t xml:space="preserve">[SLD eligibility consideration under IDEA (IEP) vs. Section 504 accommodations — final determination rests with the school team]</w:t>
      </w:r>
    </w:p>
    <w:p>
      <w:pPr>
        <w:pStyle w:val="Heading2"/>
        <w:spacing w:before="200"/>
      </w:pPr>
      <w:r>
        <w:t xml:space="preserve">Recommendations</w:t>
      </w:r>
    </w:p>
    <w:p>
      <w:pPr>
        <w:spacing w:after="120"/>
      </w:pPr>
      <w:r>
        <w:rPr>
          <w:color w:val="9CA3AF"/>
        </w:rPr>
        <w:t xml:space="preserve">[Named instructional programs and intensity, specific accommodation parameters (e.g., 1.5x extended time), assistive technology by name, social-emotional supports for secondary anxiety/self-esteem, re-evaluation timeline]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learning-disability-assessment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Disability (SLD) Assessment Report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