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Letter to Primary Care Physician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clinicaldocslibrary.com/clinical-letters/letter-to-pcp/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A peer-to-peer clinical communication: lead with purpose and identifiers, use medical language and standardized scores, present data before interpretation, and keep it to 1-2 pages. Send by a HIPAA-compliant method.</w:t>
      </w:r>
    </w:p>
    <w:p>
      <w:pPr>
        <w:spacing w:after="80"/>
      </w:pPr>
      <w:r>
        <w:rPr>
          <w:b/>
          <w:bCs/>
        </w:rPr>
        <w:t xml:space="preserve">Practice letterhead: </w:t>
      </w:r>
      <w:r>
        <w:rPr>
          <w:color w:val="9CA3AF"/>
        </w:rPr>
        <w:t xml:space="preserve">[Practice name, address, phone, fax]</w:t>
      </w:r>
    </w:p>
    <w:p>
      <w:pPr>
        <w:spacing w:after="80"/>
      </w:pPr>
      <w:r>
        <w:rPr>
          <w:b/>
          <w:bCs/>
        </w:rPr>
        <w:t xml:space="preserve">Date: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Recipient: </w:t>
      </w:r>
      <w:r>
        <w:rPr>
          <w:color w:val="9CA3AF"/>
        </w:rPr>
        <w:t xml:space="preserve">[PCP name, credentials, practice, address, fax]</w:t>
      </w:r>
    </w:p>
    <w:p>
      <w:pPr>
        <w:spacing w:after="80"/>
      </w:pPr>
      <w:r>
        <w:rPr>
          <w:b/>
          <w:bCs/>
        </w:rPr>
        <w:t xml:space="preserve">Re: </w:t>
      </w:r>
      <w:r>
        <w:rPr>
          <w:color w:val="9CA3AF"/>
        </w:rPr>
        <w:t xml:space="preserve">[Purpose — e.g., clinical update / initial notification / medication-relevant observations]</w:t>
      </w:r>
    </w:p>
    <w:p>
      <w:pPr>
        <w:spacing w:after="80"/>
      </w:pPr>
      <w:r>
        <w:rPr>
          <w:b/>
          <w:bCs/>
        </w:rPr>
        <w:t xml:space="preserve">Patient: </w:t>
      </w:r>
      <w:r>
        <w:rPr>
          <w:color w:val="9CA3AF"/>
        </w:rPr>
        <w:t xml:space="preserve">[Full name / date of birth / shared record or insurance ID]</w:t>
      </w:r>
    </w:p>
    <w:p>
      <w:pPr>
        <w:spacing w:after="80"/>
      </w:pPr>
      <w:r>
        <w:rPr>
          <w:b/>
          <w:bCs/>
        </w:rPr>
        <w:t xml:space="preserve">Provider information: </w:t>
      </w:r>
      <w:r>
        <w:rPr>
          <w:color w:val="9CA3AF"/>
        </w:rPr>
        <w:t xml:space="preserve">[Name, degree, license type &amp; number, state, NPI, practice, phone/fax]</w:t>
      </w:r>
    </w:p>
    <w:p>
      <w:pPr>
        <w:spacing w:after="80"/>
      </w:pPr>
      <w:r>
        <w:rPr>
          <w:b/>
          <w:bCs/>
        </w:rPr>
        <w:t xml:space="preserve">Consent: </w:t>
      </w:r>
      <w:r>
        <w:rPr>
          <w:color w:val="9CA3AF"/>
        </w:rPr>
        <w:t xml:space="preserve">[Statement that the letter is sent with the patient's written consent]</w:t>
      </w:r>
    </w:p>
    <w:p>
      <w:pPr>
        <w:spacing w:after="80"/>
      </w:pPr>
      <w:r>
        <w:rPr>
          <w:b/>
          <w:bCs/>
        </w:rPr>
        <w:t xml:space="preserve">Clinical relationship: </w:t>
      </w:r>
      <w:r>
        <w:rPr>
          <w:color w:val="9CA3AF"/>
        </w:rPr>
        <w:t xml:space="preserve">[Start date, modality, session frequency]</w:t>
      </w:r>
    </w:p>
    <w:p>
      <w:pPr>
        <w:pStyle w:val="Heading2"/>
        <w:spacing w:before="200"/>
      </w:pPr>
      <w:r>
        <w:t xml:space="preserve">Diagnostic Impression</w:t>
      </w:r>
    </w:p>
    <w:p>
      <w:pPr>
        <w:spacing w:after="80"/>
      </w:pPr>
      <w:r>
        <w:rPr>
          <w:b/>
          <w:bCs/>
        </w:rPr>
        <w:t xml:space="preserve">Diagnoses (ICD-10): </w:t>
      </w:r>
      <w:r>
        <w:rPr>
          <w:color w:val="9CA3AF"/>
        </w:rPr>
        <w:t xml:space="preserve">[Current diagnoses with codes, including comorbidities relevant to medical care]</w:t>
      </w:r>
    </w:p>
    <w:p>
      <w:pPr>
        <w:pStyle w:val="Heading2"/>
        <w:spacing w:before="200"/>
      </w:pPr>
      <w:r>
        <w:t xml:space="preserve">Current Clinical Status</w:t>
      </w:r>
    </w:p>
    <w:p>
      <w:pPr>
        <w:spacing w:before="60"/>
      </w:pPr>
      <w:r>
        <w:rPr>
          <w:b/>
          <w:bCs/>
        </w:rPr>
        <w:t xml:space="preserve">Status</w:t>
      </w:r>
    </w:p>
    <w:p>
      <w:pPr>
        <w:spacing w:after="120"/>
      </w:pPr>
      <w:r>
        <w:rPr>
          <w:color w:val="9CA3AF"/>
        </w:rPr>
        <w:t xml:space="preserve">[Symptom severity and trajectory with standardized measure scores over time (e.g., PHQ-9/GAD-7 intake → current); sleep, appetite/weight, concentration, risk status — data PCPs can interpret quickly]</w:t>
      </w:r>
    </w:p>
    <w:p>
      <w:pPr>
        <w:pStyle w:val="Heading2"/>
        <w:spacing w:before="200"/>
      </w:pPr>
      <w:r>
        <w:t xml:space="preserve">Treatment Summary</w:t>
      </w:r>
    </w:p>
    <w:p>
      <w:pPr>
        <w:spacing w:before="60"/>
      </w:pPr>
      <w:r>
        <w:rPr>
          <w:b/>
          <w:bCs/>
        </w:rPr>
        <w:t xml:space="preserve">Treatment</w:t>
      </w:r>
    </w:p>
    <w:p>
      <w:pPr>
        <w:spacing w:after="120"/>
      </w:pPr>
      <w:r>
        <w:rPr>
          <w:color w:val="9CA3AF"/>
        </w:rPr>
        <w:t xml:space="preserve">[Modality, frequency, duration, focus, and response — brief; the PCP needs the arc, not the plan detail]</w:t>
      </w:r>
    </w:p>
    <w:p>
      <w:pPr>
        <w:pStyle w:val="Heading2"/>
        <w:spacing w:before="200"/>
      </w:pPr>
      <w:r>
        <w:t xml:space="preserve">Medication-Relevant Observations</w:t>
      </w:r>
    </w:p>
    <w:p>
      <w:pPr>
        <w:spacing w:before="60"/>
      </w:pPr>
      <w:r>
        <w:rPr>
          <w:b/>
          <w:bCs/>
        </w:rPr>
        <w:t xml:space="preserve">Observations</w:t>
      </w:r>
    </w:p>
    <w:p>
      <w:pPr>
        <w:spacing w:after="120"/>
      </w:pPr>
      <w:r>
        <w:rPr>
          <w:color w:val="9CA3AF"/>
        </w:rPr>
        <w:t xml:space="preserve">[Clinical observations that inform prescribing without recommending medications: response/non-response to current regimen, reported side effects, adherence, client's interest in an evaluation — state you are sharing data to support their medical decision-making]</w:t>
      </w:r>
    </w:p>
    <w:p>
      <w:pPr>
        <w:pStyle w:val="Heading2"/>
        <w:spacing w:before="200"/>
      </w:pPr>
      <w:r>
        <w:t xml:space="preserve">Other Medical Considerations</w:t>
      </w:r>
    </w:p>
    <w:p>
      <w:pPr>
        <w:spacing w:before="60"/>
      </w:pPr>
      <w:r>
        <w:rPr>
          <w:b/>
          <w:bCs/>
        </w:rPr>
        <w:t xml:space="preserve">Medical considerations</w:t>
      </w:r>
    </w:p>
    <w:p>
      <w:pPr>
        <w:spacing w:after="120"/>
      </w:pPr>
      <w:r>
        <w:rPr>
          <w:color w:val="9CA3AF"/>
        </w:rPr>
        <w:t xml:space="preserve">[Somatic symptoms possibly warranting medical evaluation — e.g., unintentional weight change, persistent fatigue, headaches]</w:t>
      </w:r>
    </w:p>
    <w:p>
      <w:pPr>
        <w:pStyle w:val="Heading2"/>
        <w:spacing w:before="200"/>
      </w:pPr>
      <w:r>
        <w:t xml:space="preserve">Requests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[Request 1 — e.g., consider whether a psychopharmacological evaluation is appropriate]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[Request 2 — e.g., consider medical workup (labs) given reported symptoms — or state the letter is informational only]</w:t>
      </w:r>
    </w:p>
    <w:p>
      <w:pPr>
        <w:spacing w:after="80"/>
      </w:pPr>
      <w:r>
        <w:rPr>
          <w:b/>
          <w:bCs/>
        </w:rPr>
        <w:t xml:space="preserve">Availability: </w:t>
      </w:r>
      <w:r>
        <w:rPr>
          <w:color w:val="9CA3AF"/>
        </w:rPr>
        <w:t xml:space="preserve">[Offer of phone consultation; include direct phone and fax]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letter-to-pcp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to Primary Care Physician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