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Malingering / Symptom Validity Assessment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clinicaldocslibrary.com/forensic-legal/malingering-assessment/</w:t>
      </w:r>
    </w:p>
    <w:p>
      <w:pPr>
        <w:spacing w:after="80"/>
      </w:pPr>
      <w:r>
        <w:rPr>
          <w:b/>
          <w:bCs/>
        </w:rPr>
        <w:t xml:space="preserve">Evaluee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 / total contact time: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 / license: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[Court, attorney, agency, or employer — the referral source is the client]</w:t>
      </w:r>
    </w:p>
    <w:p>
      <w:pPr>
        <w:pStyle w:val="Heading2"/>
        <w:spacing w:before="200"/>
      </w:pPr>
      <w:r>
        <w:t xml:space="preserve">Referral Question and External Incentive Context</w:t>
      </w:r>
    </w:p>
    <w:p>
      <w:pPr>
        <w:spacing w:before="60"/>
      </w:pPr>
      <w:r>
        <w:rPr>
          <w:b/>
          <w:bCs/>
        </w:rPr>
        <w:t xml:space="preserve">Referral and incentive context</w:t>
      </w:r>
    </w:p>
    <w:p>
      <w:pPr>
        <w:spacing w:after="120"/>
      </w:pPr>
      <w:r>
        <w:rPr>
          <w:color w:val="9CA3AF"/>
        </w:rPr>
        <w:t xml:space="preserve">[The referral question and what the examinee stands to gain or lose from the evaluation outcome (compensation, avoidance of prosecution, benefits) — a necessary contextual factor, not a prejudgment]</w:t>
      </w:r>
    </w:p>
    <w:p>
      <w:pPr>
        <w:pStyle w:val="Heading2"/>
        <w:spacing w:before="200"/>
      </w:pPr>
      <w:r>
        <w:t xml:space="preserve">Notification</w:t>
      </w:r>
    </w:p>
    <w:p>
      <w:pPr>
        <w:spacing w:before="60"/>
      </w:pPr>
      <w:r>
        <w:rPr>
          <w:b/>
          <w:bCs/>
        </w:rPr>
        <w:t xml:space="preserve">Forensic notification</w:t>
      </w:r>
    </w:p>
    <w:p>
      <w:pPr>
        <w:spacing w:after="120"/>
      </w:pPr>
      <w:r>
        <w:rPr>
          <w:color w:val="9CA3AF"/>
        </w:rPr>
        <w:t xml:space="preserve">[Document that the evaluee was informed of: the purpose of the evaluation; who requested it; who will receive the report; the limits of confidentiality; that this is not treatment and no therapeutic relationship exists; the voluntary or involuntary nature of participation, including that the validity and consistency of the symptom presentation will be assessed. Record the evaluee's demonstrated understanding and response]</w:t>
      </w:r>
    </w:p>
    <w:p>
      <w:pPr>
        <w:pStyle w:val="Heading2"/>
        <w:spacing w:before="200"/>
      </w:pPr>
      <w:r>
        <w:t xml:space="preserve">Sources of Information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[Clinical interviews — dates, durations, locations]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[Records reviewed — type, source, date range, page counts]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[Psychological tests / instruments administered]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[Collateral contacts — name, role, date, duration]</w:t>
      </w:r>
    </w:p>
    <w:p>
      <w:pPr>
        <w:pStyle w:val="Heading2"/>
        <w:spacing w:before="200"/>
      </w:pPr>
      <w:r>
        <w:t xml:space="preserve">Symptom Presentation and Self-Report</w:t>
      </w:r>
    </w:p>
    <w:p>
      <w:pPr>
        <w:spacing w:before="60"/>
      </w:pPr>
      <w:r>
        <w:rPr>
          <w:b/>
          <w:bCs/>
        </w:rPr>
        <w:t xml:space="preserve">Self-report</w:t>
      </w:r>
    </w:p>
    <w:p>
      <w:pPr>
        <w:spacing w:after="120"/>
      </w:pPr>
      <w:r>
        <w:rPr>
          <w:color w:val="9CA3AF"/>
        </w:rPr>
        <w:t xml:space="preserve">[Reported symptoms: onset, severity, duration, functional impact, treatment history — noting any rare, improbable, or phenomenologically inconsistent endorsements]</w:t>
      </w:r>
    </w:p>
    <w:p>
      <w:pPr>
        <w:pStyle w:val="Heading2"/>
        <w:spacing w:before="200"/>
      </w:pPr>
      <w:r>
        <w:t xml:space="preserve">Performance Validity Tests (PVTs)</w:t>
      </w:r>
    </w:p>
    <w:p>
      <w:pPr>
        <w:spacing w:before="60"/>
      </w:pPr>
      <w:r>
        <w:rPr>
          <w:b/>
          <w:bCs/>
        </w:rPr>
        <w:t xml:space="preserve">PVT results</w:t>
      </w:r>
    </w:p>
    <w:p>
      <w:pPr>
        <w:spacing w:after="120"/>
      </w:pPr>
      <w:r>
        <w:rPr>
          <w:color w:val="9CA3AF"/>
        </w:rPr>
        <w:t xml:space="preserve">[Each standalone effort measure (e.g., TOMM, WMT) and embedded indicators (e.g., Reliable Digit Span), with exact scores and established cutoffs]</w:t>
      </w:r>
    </w:p>
    <w:p>
      <w:pPr>
        <w:pStyle w:val="Heading2"/>
        <w:spacing w:before="200"/>
      </w:pPr>
      <w:r>
        <w:t xml:space="preserve">Symptom Validity Tests (SVTs)</w:t>
      </w:r>
    </w:p>
    <w:p>
      <w:pPr>
        <w:spacing w:before="60"/>
      </w:pPr>
      <w:r>
        <w:rPr>
          <w:b/>
          <w:bCs/>
        </w:rPr>
        <w:t xml:space="preserve">SVT results</w:t>
      </w:r>
    </w:p>
    <w:p>
      <w:pPr>
        <w:spacing w:after="120"/>
      </w:pPr>
      <w:r>
        <w:rPr>
          <w:color w:val="9CA3AF"/>
        </w:rPr>
        <w:t xml:space="preserve">[Each symptom-credibility measure (e.g., SIMS, M-FAST) with scores, cutoffs, and elevated scales]</w:t>
      </w:r>
    </w:p>
    <w:p>
      <w:pPr>
        <w:pStyle w:val="Heading2"/>
        <w:spacing w:before="200"/>
      </w:pPr>
      <w:r>
        <w:t xml:space="preserve">Embedded Validity Indicators</w:t>
      </w:r>
    </w:p>
    <w:p>
      <w:pPr>
        <w:spacing w:before="60"/>
      </w:pPr>
      <w:r>
        <w:rPr>
          <w:b/>
          <w:bCs/>
        </w:rPr>
        <w:t xml:space="preserve">Embedded indicators</w:t>
      </w:r>
    </w:p>
    <w:p>
      <w:pPr>
        <w:spacing w:after="120"/>
      </w:pPr>
      <w:r>
        <w:rPr>
          <w:color w:val="9CA3AF"/>
        </w:rPr>
        <w:t xml:space="preserve">[Validity scales within comprehensive instruments (e.g., MMPI-3 F, Fp, FBS, RBS, Fs; PAI NIM, MAL) with scores and interpretation]</w:t>
      </w:r>
    </w:p>
    <w:p>
      <w:pPr>
        <w:pStyle w:val="Heading2"/>
        <w:spacing w:before="200"/>
      </w:pPr>
      <w:r>
        <w:t xml:space="preserve">Consistency Analysis</w:t>
      </w:r>
    </w:p>
    <w:p>
      <w:pPr>
        <w:spacing w:before="60"/>
      </w:pPr>
      <w:r>
        <w:rPr>
          <w:b/>
          <w:bCs/>
        </w:rPr>
        <w:t xml:space="preserve">Consistency</w:t>
      </w:r>
    </w:p>
    <w:p>
      <w:pPr>
        <w:spacing w:after="120"/>
      </w:pPr>
      <w:r>
        <w:rPr>
          <w:color w:val="9CA3AF"/>
        </w:rPr>
        <w:t xml:space="preserve">[Test performance vs. observed behavior in and outside the evaluation; self-report vs. medical records and documented history; symptom timeline vs. claimed etiology; discrepancies with collateral accounts]</w:t>
      </w:r>
    </w:p>
    <w:p>
      <w:pPr>
        <w:pStyle w:val="Heading2"/>
        <w:spacing w:before="200"/>
      </w:pPr>
      <w:r>
        <w:t xml:space="preserve">Behavioral Observations Relevant to Validity</w:t>
      </w:r>
    </w:p>
    <w:p>
      <w:pPr>
        <w:spacing w:before="60"/>
      </w:pPr>
      <w:r>
        <w:rPr>
          <w:b/>
          <w:bCs/>
        </w:rPr>
        <w:t xml:space="preserve">Observations</w:t>
      </w:r>
    </w:p>
    <w:p>
      <w:pPr>
        <w:spacing w:after="120"/>
      </w:pPr>
      <w:r>
        <w:rPr>
          <w:color w:val="9CA3AF"/>
        </w:rPr>
        <w:t xml:space="preserve">[Abilities demonstrated in conversation but absent in testing, response patterns suggesting deliberate poor effort, variability across sessions]</w:t>
      </w:r>
    </w:p>
    <w:p>
      <w:pPr>
        <w:pStyle w:val="Heading2"/>
        <w:spacing w:before="200"/>
      </w:pPr>
      <w:r>
        <w:t xml:space="preserve">Alternative Explanations Considered</w:t>
      </w:r>
    </w:p>
    <w:p>
      <w:pPr>
        <w:spacing w:before="60"/>
      </w:pPr>
      <w:r>
        <w:rPr>
          <w:b/>
          <w:bCs/>
        </w:rPr>
        <w:t xml:space="preserve">Alternatives</w:t>
      </w:r>
    </w:p>
    <w:p>
      <w:pPr>
        <w:spacing w:after="120"/>
      </w:pPr>
      <w:r>
        <w:rPr>
          <w:color w:val="9CA3AF"/>
        </w:rPr>
        <w:t xml:space="preserve">[Depression, anxiety, pain, fatigue, medication effects, cultural and language factors, low education, intellectual disability, and genuine impairment with superimposed exaggeration — addressed and ruled in or out]</w:t>
      </w:r>
    </w:p>
    <w:p>
      <w:pPr>
        <w:pStyle w:val="Heading2"/>
        <w:spacing w:before="200"/>
      </w:pPr>
      <w:r>
        <w:t xml:space="preserve">Clinical Opinion on Symptom Validity</w:t>
      </w:r>
    </w:p>
    <w:p>
      <w:pPr>
        <w:spacing w:before="60"/>
      </w:pPr>
      <w:r>
        <w:rPr>
          <w:b/>
          <w:bCs/>
        </w:rPr>
        <w:t xml:space="preserve">Opinion</w:t>
      </w:r>
    </w:p>
    <w:p>
      <w:pPr>
        <w:spacing w:after="120"/>
      </w:pPr>
      <w:r>
        <w:rPr>
          <w:color w:val="9CA3AF"/>
        </w:rPr>
        <w:t xml:space="preserve">[The convergence (or non-convergence) of evidence across multiple independent methods; state the determination with precision and without pejorative language — e.g., inadequate effort, non-credible symptom presentation — and acknowledge what remains uncertain. Never base the determination on a single indicator]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The threshold for a malingering determination must be high: an incorrect determination can deny a genuinely impaired person benefits, compensation, or treatment.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malingering-assessmen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Malingering / Symptom Validity Assessment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