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Mitigation Report for Criminal Sentencing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clinicaldocslibrary.com/forensic-legal/mitigation-report/</w:t>
      </w:r>
    </w:p>
    <w:p>
      <w:pPr>
        <w:spacing w:after="80"/>
      </w:pPr>
      <w:r>
        <w:rPr>
          <w:b/>
          <w:bCs/>
        </w:rPr>
        <w:t xml:space="preserve">Defendant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Charges / conviction: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Sentencing court / applicable sentencing framework: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Referring defense attorney: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Evaluator / credentials / license: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 / total contact time / date of report: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Notification</w:t>
      </w:r>
    </w:p>
    <w:p>
      <w:pPr>
        <w:spacing w:before="60"/>
      </w:pPr>
      <w:r>
        <w:rPr>
          <w:b/>
          <w:bCs/>
        </w:rPr>
        <w:t xml:space="preserve">Forensic notification</w:t>
      </w:r>
    </w:p>
    <w:p>
      <w:pPr>
        <w:spacing w:after="120"/>
      </w:pPr>
      <w:r>
        <w:rPr>
          <w:color w:val="9CA3AF"/>
        </w:rPr>
        <w:t xml:space="preserve">[Document that the evaluee was informed of: the purpose of the evaluation; who requested it; who will receive the report; the limits of confidentiality; that this is not treatment and no therapeutic relationship exists; the voluntary or involuntary nature of participation, including that although this is a defense-retained evaluation, statements may appear in a report that becomes part of the court record. Record the evaluee's demonstrated understanding and response]</w:t>
      </w:r>
    </w:p>
    <w:p>
      <w:pPr>
        <w:pStyle w:val="Heading2"/>
        <w:spacing w:before="200"/>
      </w:pPr>
      <w:r>
        <w:t xml:space="preserve">Sources of Information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[Clinical interviews — dates, durations, locations]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[Records reviewed — type, source, date range, page counts]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[Psychological tests / instruments administered]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[Collateral contacts — name, role, date, duration]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Mitigation requires comprehensive investigation: records from every institution that touched the defendant's life, and multiple collateral interviews — not the defendant's self-report alone.</w:t>
      </w:r>
    </w:p>
    <w:p>
      <w:pPr>
        <w:pStyle w:val="Heading2"/>
        <w:spacing w:before="200"/>
      </w:pPr>
      <w:r>
        <w:t xml:space="preserve">Biopsychosocial Life History</w:t>
      </w:r>
    </w:p>
    <w:p>
      <w:pPr>
        <w:spacing w:before="60"/>
      </w:pPr>
      <w:r>
        <w:rPr>
          <w:b/>
          <w:bCs/>
        </w:rPr>
        <w:t xml:space="preserve">Prenatal, perinatal, and early childhood</w:t>
      </w:r>
    </w:p>
    <w:p>
      <w:pPr>
        <w:spacing w:after="120"/>
      </w:pPr>
      <w:r>
        <w:rPr>
          <w:color w:val="9CA3AF"/>
        </w:rPr>
        <w:t xml:space="preserve">[Prenatal exposures, birth complications, early caregiving, attachment disruption]</w:t>
      </w:r>
    </w:p>
    <w:p>
      <w:pPr>
        <w:spacing w:before="60"/>
      </w:pPr>
      <w:r>
        <w:rPr>
          <w:b/>
          <w:bCs/>
        </w:rPr>
        <w:t xml:space="preserve">Childhood adversity and maltreatment</w:t>
      </w:r>
    </w:p>
    <w:p>
      <w:pPr>
        <w:spacing w:after="120"/>
      </w:pPr>
      <w:r>
        <w:rPr>
          <w:color w:val="9CA3AF"/>
        </w:rPr>
        <w:t xml:space="preserve">[Abuse, neglect, family dysfunction, poverty, community violence, foster or institutional placements — corroborated by records and collateral sources]</w:t>
      </w:r>
    </w:p>
    <w:p>
      <w:pPr>
        <w:spacing w:before="60"/>
      </w:pPr>
      <w:r>
        <w:rPr>
          <w:b/>
          <w:bCs/>
        </w:rPr>
        <w:t xml:space="preserve">Educational history</w:t>
      </w:r>
    </w:p>
    <w:p>
      <w:pPr>
        <w:spacing w:after="120"/>
      </w:pPr>
      <w:r>
        <w:rPr>
          <w:color w:val="9CA3AF"/>
        </w:rPr>
        <w:t xml:space="preserve">[School performance, special education needs and whether they were met, disciplinary history, dropout]</w:t>
      </w:r>
    </w:p>
    <w:p>
      <w:pPr>
        <w:spacing w:before="60"/>
      </w:pPr>
      <w:r>
        <w:rPr>
          <w:b/>
          <w:bCs/>
        </w:rPr>
        <w:t xml:space="preserve">Adolescence and adulthood</w:t>
      </w:r>
    </w:p>
    <w:p>
      <w:pPr>
        <w:spacing w:after="120"/>
      </w:pPr>
      <w:r>
        <w:rPr>
          <w:color w:val="9CA3AF"/>
        </w:rPr>
        <w:t xml:space="preserve">[Mental illness onset, substance use trajectory, head injuries, employment, relationships, military service, institutional involvement]</w:t>
      </w:r>
    </w:p>
    <w:p>
      <w:pPr>
        <w:pStyle w:val="Heading2"/>
        <w:spacing w:before="200"/>
      </w:pPr>
      <w:r>
        <w:t xml:space="preserve">Psychological Testing</w:t>
      </w:r>
    </w:p>
    <w:p>
      <w:pPr>
        <w:spacing w:before="60"/>
      </w:pPr>
      <w:r>
        <w:rPr>
          <w:b/>
          <w:bCs/>
        </w:rPr>
        <w:t xml:space="preserve">Testing</w:t>
      </w:r>
    </w:p>
    <w:p>
      <w:pPr>
        <w:spacing w:after="120"/>
      </w:pPr>
      <w:r>
        <w:rPr>
          <w:color w:val="9CA3AF"/>
        </w:rPr>
        <w:t xml:space="preserve">[Cognitive/intellectual measures, personality and psychopathology instruments, trauma measures, adaptive functioning — with scores and validity indicators]</w:t>
      </w:r>
    </w:p>
    <w:p>
      <w:pPr>
        <w:pStyle w:val="Heading2"/>
        <w:spacing w:before="200"/>
      </w:pPr>
      <w:r>
        <w:t xml:space="preserve">Diagnoses</w:t>
      </w:r>
    </w:p>
    <w:p>
      <w:pPr>
        <w:spacing w:after="80"/>
      </w:pPr>
      <w:r>
        <w:rPr>
          <w:b/>
          <w:bCs/>
        </w:rPr>
        <w:t xml:space="preserve">Diagnoses (DSM-5-TR / ICD-10): </w:t>
      </w:r>
      <w:r>
        <w:rPr>
          <w:color w:val="9CA3AF"/>
        </w:rPr>
        <w:t xml:space="preserve">[Only what the data support — overdiagnosis undermines credibility]</w:t>
      </w:r>
    </w:p>
    <w:p>
      <w:pPr>
        <w:pStyle w:val="Heading2"/>
        <w:spacing w:before="200"/>
      </w:pPr>
      <w:r>
        <w:t xml:space="preserve">Nexus Analysis</w:t>
      </w:r>
    </w:p>
    <w:p>
      <w:pPr>
        <w:spacing w:before="60"/>
      </w:pPr>
      <w:r>
        <w:rPr>
          <w:b/>
          <w:bCs/>
        </w:rPr>
        <w:t xml:space="preserve">Nexus between background and offense</w:t>
      </w:r>
    </w:p>
    <w:p>
      <w:pPr>
        <w:spacing w:after="120"/>
      </w:pPr>
      <w:r>
        <w:rPr>
          <w:color w:val="9CA3AF"/>
        </w:rPr>
        <w:t xml:space="preserve">[The developmental pathway connecting documented adversity and psychological functioning to the circumstances of the offense — contextualization for individualized sentencing, explicitly not an excuse or an absolution of responsibility]</w:t>
      </w:r>
    </w:p>
    <w:p>
      <w:pPr>
        <w:pStyle w:val="Heading2"/>
        <w:spacing w:before="200"/>
      </w:pPr>
      <w:r>
        <w:t xml:space="preserve">Treatment Amenability</w:t>
      </w:r>
    </w:p>
    <w:p>
      <w:pPr>
        <w:spacing w:before="60"/>
      </w:pPr>
      <w:r>
        <w:rPr>
          <w:b/>
          <w:bCs/>
        </w:rPr>
        <w:t xml:space="preserve">Amenability</w:t>
      </w:r>
    </w:p>
    <w:p>
      <w:pPr>
        <w:spacing w:after="120"/>
      </w:pPr>
      <w:r>
        <w:rPr>
          <w:color w:val="9CA3AF"/>
        </w:rPr>
        <w:t xml:space="preserve">[Capacity and motivation to benefit from treatment, prior treatment response, and the specific interventions and conditions under which prognosis is most favorable]</w:t>
      </w:r>
    </w:p>
    <w:p>
      <w:pPr>
        <w:pStyle w:val="Heading2"/>
        <w:spacing w:before="200"/>
      </w:pPr>
      <w:r>
        <w:t xml:space="preserve">Summary of Mitigating Factors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[Mitigating factor 1 — with the supporting evidence]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[Mitigating factor 2 — with the supporting evidence]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[Mitigating factor 3 — with the supporting evidence]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mitigation-repor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Mitigation Report for Criminal Sentencing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