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Neuropsychological Evaluation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clinicaldocslibrary.com/assessment-reports/neuropsych-report/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Age / Education (years):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Referral Question</w:t>
      </w:r>
    </w:p>
    <w:p>
      <w:pPr>
        <w:spacing w:before="60"/>
      </w:pPr>
      <w:r>
        <w:rPr>
          <w:b/>
          <w:bCs/>
        </w:rPr>
        <w:t xml:space="preserve">Referral question</w:t>
      </w:r>
    </w:p>
    <w:p>
      <w:pPr>
        <w:spacing w:after="120"/>
      </w:pPr>
      <w:r>
        <w:rPr>
          <w:color w:val="9CA3AF"/>
        </w:rPr>
        <w:t xml:space="preserve">[Cognitive complaints, course, and the specific questions — e.g., current profile, consistency with a neurodegenerative process/subtype, functional implications]</w:t>
      </w:r>
    </w:p>
    <w:p>
      <w:pPr>
        <w:pStyle w:val="Heading2"/>
        <w:spacing w:before="200"/>
      </w:pPr>
      <w:r>
        <w:t xml:space="preserve">Relevant History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[Medical (neurological conditions, surgeries, medications), neuroimaging and laboratory findings, psychiatric history and current mood screening, substance use, family history of neurodegenerative disease, occupational/educational background, informant report of daily functioning]</w:t>
      </w:r>
    </w:p>
    <w:p>
      <w:pPr>
        <w:pStyle w:val="Heading2"/>
        <w:spacing w:before="200"/>
      </w:pPr>
      <w:r>
        <w:t xml:space="preserve">Behavioral Observations &amp; Performance Validity</w:t>
      </w:r>
    </w:p>
    <w:p>
      <w:pPr>
        <w:spacing w:before="60"/>
      </w:pPr>
      <w:r>
        <w:rPr>
          <w:b/>
          <w:bCs/>
        </w:rPr>
        <w:t xml:space="preserve">Observations</w:t>
      </w:r>
    </w:p>
    <w:p>
      <w:pPr>
        <w:spacing w:after="120"/>
      </w:pPr>
      <w:r>
        <w:rPr>
          <w:color w:val="9CA3AF"/>
        </w:rPr>
        <w:t xml:space="preserve">[Orientation, awareness of deficits (patient vs. informant discrepancy), cooperation, sensory/motor limitations]</w:t>
      </w:r>
    </w:p>
    <w:p>
      <w:pPr>
        <w:spacing w:after="80"/>
      </w:pPr>
      <w:r>
        <w:rPr>
          <w:b/>
          <w:bCs/>
        </w:rPr>
        <w:t xml:space="preserve">Performance validity testing: </w:t>
      </w:r>
      <w:r>
        <w:rPr>
          <w:color w:val="9CA3AF"/>
        </w:rPr>
        <w:t xml:space="preserve">[Stand-alone PVT result(s) and embedded indicators; statement on validity of the battery]</w:t>
      </w:r>
    </w:p>
    <w:p>
      <w:pPr>
        <w:pStyle w:val="Heading2"/>
        <w:spacing w:before="200"/>
      </w:pPr>
      <w:r>
        <w:t xml:space="preserve">Tests Administered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[List all measures — cover attention/processing speed, learning &amp; memory (verbal and visual), executive function, language, visuospatial, motor, mood]</w:t>
      </w:r>
    </w:p>
    <w:p>
      <w:pPr>
        <w:pStyle w:val="Heading2"/>
        <w:spacing w:before="200"/>
      </w:pPr>
      <w:r>
        <w:t xml:space="preserve">Test Results by Cognitive Domain</w:t>
      </w:r>
    </w:p>
    <w:p>
      <w:pPr>
        <w:spacing w:after="80"/>
      </w:pPr>
      <w:r>
        <w:rPr>
          <w:b/>
          <w:bCs/>
        </w:rPr>
        <w:t xml:space="preserve">Premorbid estimate: </w:t>
      </w:r>
      <w:r>
        <w:rPr>
          <w:color w:val="9CA3AF"/>
        </w:rPr>
        <w:t xml:space="preserve">[Demographic/reading-based estimate and rationale]</w:t>
      </w:r>
    </w:p>
    <w:p>
      <w:pPr>
        <w:spacing w:after="80"/>
      </w:pPr>
      <w:r>
        <w:rPr>
          <w:b/>
          <w:bCs/>
        </w:rPr>
        <w:t xml:space="preserve">General intellectual ability: </w:t>
      </w:r>
      <w:r>
        <w:rPr>
          <w:color w:val="9CA3AF"/>
        </w:rPr>
        <w:t xml:space="preserve">[Scores vs. premorbid expectation]</w:t>
      </w:r>
    </w:p>
    <w:p>
      <w:pPr>
        <w:spacing w:after="80"/>
      </w:pPr>
      <w:r>
        <w:rPr>
          <w:b/>
          <w:bCs/>
        </w:rPr>
        <w:t xml:space="preserve">Attention &amp; processing speed: </w:t>
      </w:r>
      <w:r>
        <w:rPr>
          <w:color w:val="9CA3AF"/>
        </w:rPr>
        <w:t xml:space="preserve">[Scores and interpretation]</w:t>
      </w:r>
    </w:p>
    <w:p>
      <w:pPr>
        <w:spacing w:after="80"/>
      </w:pPr>
      <w:r>
        <w:rPr>
          <w:b/>
          <w:bCs/>
        </w:rPr>
        <w:t xml:space="preserve">Learning &amp; memory: </w:t>
      </w:r>
      <w:r>
        <w:rPr>
          <w:color w:val="9CA3AF"/>
        </w:rPr>
        <w:t xml:space="preserve">[Verbal and visual; encoding/storage vs. retrieval pattern; recognition benefit]</w:t>
      </w:r>
    </w:p>
    <w:p>
      <w:pPr>
        <w:spacing w:after="80"/>
      </w:pPr>
      <w:r>
        <w:rPr>
          <w:b/>
          <w:bCs/>
        </w:rPr>
        <w:t xml:space="preserve">Executive function: </w:t>
      </w:r>
      <w:r>
        <w:rPr>
          <w:color w:val="9CA3AF"/>
        </w:rPr>
        <w:t xml:space="preserve">[Scores and interpretation]</w:t>
      </w:r>
    </w:p>
    <w:p>
      <w:pPr>
        <w:spacing w:after="80"/>
      </w:pPr>
      <w:r>
        <w:rPr>
          <w:b/>
          <w:bCs/>
        </w:rPr>
        <w:t xml:space="preserve">Language: </w:t>
      </w:r>
      <w:r>
        <w:rPr>
          <w:color w:val="9CA3AF"/>
        </w:rPr>
        <w:t xml:space="preserve">[Naming, fluency, comprehension]</w:t>
      </w:r>
    </w:p>
    <w:p>
      <w:pPr>
        <w:spacing w:after="80"/>
      </w:pPr>
      <w:r>
        <w:rPr>
          <w:b/>
          <w:bCs/>
        </w:rPr>
        <w:t xml:space="preserve">Visuospatial / visuoconstructional: </w:t>
      </w:r>
      <w:r>
        <w:rPr>
          <w:color w:val="9CA3AF"/>
        </w:rPr>
        <w:t xml:space="preserve">[Scores and interpretation]</w:t>
      </w:r>
    </w:p>
    <w:p>
      <w:pPr>
        <w:spacing w:after="80"/>
      </w:pPr>
      <w:r>
        <w:rPr>
          <w:b/>
          <w:bCs/>
        </w:rPr>
        <w:t xml:space="preserve">Motor function: </w:t>
      </w:r>
      <w:r>
        <w:rPr>
          <w:color w:val="9CA3AF"/>
        </w:rPr>
        <w:t xml:space="preserve">[If assessed]</w:t>
      </w:r>
    </w:p>
    <w:p>
      <w:pPr>
        <w:spacing w:after="80"/>
      </w:pPr>
      <w:r>
        <w:rPr>
          <w:b/>
          <w:bCs/>
        </w:rPr>
        <w:t xml:space="preserve">Emotional / psychological functioning: </w:t>
      </w:r>
      <w:r>
        <w:rPr>
          <w:color w:val="9CA3AF"/>
        </w:rPr>
        <w:t xml:space="preserve">[Mood measures; contribution to cognitive findings]</w:t>
      </w:r>
    </w:p>
    <w:p>
      <w:pPr>
        <w:pStyle w:val="Heading2"/>
        <w:spacing w:before="200"/>
      </w:pPr>
      <w:r>
        <w:t xml:space="preserve">Summary &amp; Diagnostic Impressions</w:t>
      </w:r>
    </w:p>
    <w:p>
      <w:pPr>
        <w:spacing w:before="60"/>
      </w:pPr>
      <w:r>
        <w:rPr>
          <w:b/>
          <w:bCs/>
        </w:rPr>
        <w:t xml:space="preserve">Profile-level summary</w:t>
      </w:r>
    </w:p>
    <w:p>
      <w:pPr>
        <w:spacing w:after="120"/>
      </w:pPr>
      <w:r>
        <w:rPr>
          <w:color w:val="9CA3AF"/>
        </w:rPr>
        <w:t xml:space="preserve">[Pattern of strengths/weaknesses vs. premorbid baseline; concordance with neuroimaging; which syndromes the profile is and is not consistent with]</w:t>
      </w:r>
    </w:p>
    <w:p>
      <w:pPr>
        <w:spacing w:after="80"/>
      </w:pPr>
      <w:r>
        <w:rPr>
          <w:b/>
          <w:bCs/>
        </w:rPr>
        <w:t xml:space="preserve">Diagnosis (DSM-5-TR / ICD-10): </w:t>
      </w:r>
      <w:r>
        <w:rPr>
          <w:color w:val="9CA3AF"/>
        </w:rPr>
        <w:t xml:space="preserve">[e.g., Major/Mild Neurocognitive Disorder with suspected etiology, or alternative explanation]</w:t>
      </w:r>
    </w:p>
    <w:p>
      <w:pPr>
        <w:pStyle w:val="Heading2"/>
        <w:spacing w:before="200"/>
      </w:pPr>
      <w:r>
        <w:t xml:space="preserve">Recommendations</w:t>
      </w:r>
    </w:p>
    <w:p>
      <w:pPr>
        <w:spacing w:after="120"/>
      </w:pPr>
      <w:r>
        <w:rPr>
          <w:color w:val="9CA3AF"/>
        </w:rPr>
        <w:t xml:space="preserve">[Referrals and medical follow-up; functional implications in plain language — driving, medication/financial management, independent living, safety; compensatory strategies; caregiver support and planning; serial re-evaluation interval]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neuropsych-repor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Neuropsychological Evaluation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