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Personality Assessment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clinicaldocslibrary.com/assessment-reports/personality-assessment/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Evaluation context: </w:t>
      </w:r>
      <w:r>
        <w:rPr>
          <w:color w:val="9CA3AF"/>
        </w:rPr>
        <w:t xml:space="preserve">[Clinical / forensic — if forensic: legal proceeding, applicable standard, and evaluator role]</w:t>
      </w:r>
    </w:p>
    <w:p>
      <w:pPr>
        <w:pStyle w:val="Heading2"/>
        <w:spacing w:before="200"/>
      </w:pPr>
      <w:r>
        <w:t xml:space="preserve">Notification of Purpose &amp; Consent</w:t>
      </w:r>
    </w:p>
    <w:p>
      <w:pPr>
        <w:spacing w:before="60"/>
      </w:pPr>
      <w:r>
        <w:rPr>
          <w:b/>
          <w:bCs/>
        </w:rPr>
        <w:t xml:space="preserve">Notification</w:t>
      </w:r>
    </w:p>
    <w:p>
      <w:pPr>
        <w:spacing w:after="120"/>
      </w:pPr>
      <w:r>
        <w:rPr>
          <w:color w:val="9CA3AF"/>
        </w:rPr>
        <w:t xml:space="preserve">[Document that the examinee was informed of the evaluation's purpose, who will receive results, limits of confidentiality, and consented to proceed — essential in forensic contexts]</w:t>
      </w:r>
    </w:p>
    <w:p>
      <w:pPr>
        <w:pStyle w:val="Heading2"/>
        <w:spacing w:before="200"/>
      </w:pPr>
      <w:r>
        <w:t xml:space="preserve">Background Summary</w:t>
      </w:r>
    </w:p>
    <w:p>
      <w:pPr>
        <w:spacing w:before="60"/>
      </w:pPr>
      <w:r>
        <w:rPr>
          <w:b/>
          <w:bCs/>
        </w:rPr>
        <w:t xml:space="preserve">Background</w:t>
      </w:r>
    </w:p>
    <w:p>
      <w:pPr>
        <w:spacing w:after="120"/>
      </w:pPr>
      <w:r>
        <w:rPr>
          <w:color w:val="9CA3AF"/>
        </w:rPr>
        <w:t xml:space="preserve">[Presenting concerns or index events, psychiatric history, substance use, medical history, family history, relationships and occupational functioning, legal history if relevant]</w:t>
      </w:r>
    </w:p>
    <w:p>
      <w:pPr>
        <w:pStyle w:val="Heading2"/>
        <w:spacing w:before="200"/>
      </w:pPr>
      <w:r>
        <w:t xml:space="preserve">Behavioral Observations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[Presentation, engagement, affect, approach to testing, administration conditions]</w:t>
      </w:r>
    </w:p>
    <w:p>
      <w:pPr>
        <w:pStyle w:val="Heading2"/>
        <w:spacing w:before="200"/>
      </w:pPr>
      <w:r>
        <w:t xml:space="preserve">Instruments Administered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[Personality inventory 1 — e.g., PAI / MMPI-2-RF (consider two measures for convergent validity)]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[Targeted measures per referral question — e.g., STAXI-2, AUDIT, trauma measures]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interview, collateral interviews, records reviewed]</w:t>
      </w:r>
    </w:p>
    <w:p>
      <w:pPr>
        <w:pStyle w:val="Heading2"/>
        <w:spacing w:before="200"/>
      </w:pPr>
      <w:r>
        <w:t xml:space="preserve">Validity Scale Analysis</w:t>
      </w:r>
    </w:p>
    <w:p>
      <w:pPr>
        <w:spacing w:before="60"/>
      </w:pPr>
      <w:r>
        <w:rPr>
          <w:b/>
          <w:bCs/>
        </w:rPr>
        <w:t xml:space="preserve">Validity analysis</w:t>
      </w:r>
    </w:p>
    <w:p>
      <w:pPr>
        <w:spacing w:after="120"/>
      </w:pPr>
      <w:r>
        <w:rPr>
          <w:color w:val="9CA3AF"/>
        </w:rPr>
        <w:t xml:space="preserve">[Interpret BEFORE clinical scales: response consistency, overreporting indicators, underreporting/defensiveness indicators — with scores]</w:t>
      </w:r>
    </w:p>
    <w:p>
      <w:pPr>
        <w:spacing w:after="80"/>
      </w:pPr>
      <w:r>
        <w:rPr>
          <w:b/>
          <w:bCs/>
        </w:rPr>
        <w:t xml:space="preserve">Profile validity determination: </w:t>
      </w:r>
      <w:r>
        <w:rPr>
          <w:color w:val="9CA3AF"/>
        </w:rPr>
        <w:t xml:space="preserve">[Valid / valid with caveats (state direction of bias) / invalid — clinical scales not interpretable]</w:t>
      </w:r>
    </w:p>
    <w:p>
      <w:pPr>
        <w:pStyle w:val="Heading2"/>
        <w:spacing w:before="200"/>
      </w:pPr>
      <w:r>
        <w:t xml:space="preserve">Clinical Scale Results</w:t>
      </w:r>
    </w:p>
    <w:p>
      <w:pPr>
        <w:spacing w:before="60"/>
      </w:pPr>
      <w:r>
        <w:rPr>
          <w:b/>
          <w:bCs/>
        </w:rPr>
        <w:t xml:space="preserve">Clinical scales</w:t>
      </w:r>
    </w:p>
    <w:p>
      <w:pPr>
        <w:spacing w:after="120"/>
      </w:pPr>
      <w:r>
        <w:rPr>
          <w:color w:val="9CA3AF"/>
        </w:rPr>
        <w:t xml:space="preserve">[T-scores organized by clinical domain, not scale order; subscale analysis to refine elevated scales; interpret patterns for this person in this context rather than copying manual descriptions]</w:t>
      </w:r>
    </w:p>
    <w:p>
      <w:pPr>
        <w:pStyle w:val="Heading2"/>
        <w:spacing w:before="200"/>
      </w:pPr>
      <w:r>
        <w:t xml:space="preserve">Supplementary &amp; Treatment Consideration Scales</w:t>
      </w:r>
    </w:p>
    <w:p>
      <w:pPr>
        <w:spacing w:before="60"/>
      </w:pPr>
      <w:r>
        <w:rPr>
          <w:b/>
          <w:bCs/>
        </w:rPr>
        <w:t xml:space="preserve">Treatment scales</w:t>
      </w:r>
    </w:p>
    <w:p>
      <w:pPr>
        <w:spacing w:after="120"/>
      </w:pPr>
      <w:r>
        <w:rPr>
          <w:color w:val="9CA3AF"/>
        </w:rPr>
        <w:t xml:space="preserve">[Aggression, suicidal ideation, stress, support, treatment rejection, interpersonal style — implications for risk and treatment engagement]</w:t>
      </w:r>
    </w:p>
    <w:p>
      <w:pPr>
        <w:pStyle w:val="Heading2"/>
        <w:spacing w:before="200"/>
      </w:pPr>
      <w:r>
        <w:t xml:space="preserve">Integration &amp; Diagnostic Impressions</w:t>
      </w:r>
    </w:p>
    <w:p>
      <w:pPr>
        <w:spacing w:before="60"/>
      </w:pPr>
      <w:r>
        <w:rPr>
          <w:b/>
          <w:bCs/>
        </w:rPr>
        <w:t xml:space="preserve">Integration</w:t>
      </w:r>
    </w:p>
    <w:p>
      <w:pPr>
        <w:spacing w:after="120"/>
      </w:pPr>
      <w:r>
        <w:rPr>
          <w:color w:val="9CA3AF"/>
        </w:rPr>
        <w:t xml:space="preserve">[Convergence across inventories, interview, collateral, and records; address discrepancies with clinical reasoning; DSM-5-TR impressions supported by multiple data sources — never by a single test score]</w:t>
      </w:r>
    </w:p>
    <w:p>
      <w:pPr>
        <w:spacing w:after="80"/>
      </w:pPr>
      <w:r>
        <w:rPr>
          <w:b/>
          <w:bCs/>
        </w:rPr>
        <w:t xml:space="preserve">Diagnoses (DSM-5-TR / ICD-10):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Recommendations</w:t>
      </w:r>
    </w:p>
    <w:p>
      <w:pPr>
        <w:spacing w:after="120"/>
      </w:pPr>
      <w:r>
        <w:rPr>
          <w:color w:val="9CA3AF"/>
        </w:rPr>
        <w:t xml:space="preserve">[Answer the referral question directly: treatment modality and targets, risk management, prognostic factors, follow-up or re-evaluation]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personality-assessm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Personality Assessment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