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Psychodynamic Case Formulation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clinicaldocslibrary.com/assessment-reports/psychodynamic-formulation/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Presenting problem / diagnosis (ICD-10):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Presenting Problem &amp; Manifest Symptoms</w:t>
      </w:r>
    </w:p>
    <w:p>
      <w:pPr>
        <w:spacing w:before="60"/>
      </w:pPr>
      <w:r>
        <w:rPr>
          <w:b/>
          <w:bCs/>
        </w:rPr>
        <w:t xml:space="preserve">Presenting problem</w:t>
      </w:r>
    </w:p>
    <w:p>
      <w:pPr>
        <w:spacing w:after="120"/>
      </w:pPr>
      <w:r>
        <w:rPr>
          <w:color w:val="9CA3AF"/>
        </w:rPr>
        <w:t xml:space="preserve">[Stated reason for treatment and the symptom picture — then what the symptoms may communicate or defend against: why these symptoms, why now?]</w:t>
      </w:r>
    </w:p>
    <w:p>
      <w:pPr>
        <w:pStyle w:val="Heading2"/>
        <w:spacing w:before="200"/>
      </w:pPr>
      <w:r>
        <w:t xml:space="preserve">Developmental History &amp; Early Relational Experiences</w:t>
      </w:r>
    </w:p>
    <w:p>
      <w:pPr>
        <w:spacing w:before="60"/>
      </w:pPr>
      <w:r>
        <w:rPr>
          <w:b/>
          <w:bCs/>
        </w:rPr>
        <w:t xml:space="preserve">Developmental history</w:t>
      </w:r>
    </w:p>
    <w:p>
      <w:pPr>
        <w:spacing w:after="120"/>
      </w:pPr>
      <w:r>
        <w:rPr>
          <w:color w:val="9CA3AF"/>
        </w:rPr>
        <w:t xml:space="preserve">[Early caregiving relationships, attachment quality, separations/losses/abuse/neglect, family emotional climate, repeating relational patterns]</w:t>
      </w:r>
    </w:p>
    <w:p>
      <w:pPr>
        <w:pStyle w:val="Heading2"/>
        <w:spacing w:before="200"/>
      </w:pPr>
      <w:r>
        <w:t xml:space="preserve">Object Relations &amp; Internalized Relational Patterns</w:t>
      </w:r>
    </w:p>
    <w:p>
      <w:pPr>
        <w:spacing w:before="60"/>
      </w:pPr>
      <w:r>
        <w:rPr>
          <w:b/>
          <w:bCs/>
        </w:rPr>
        <w:t xml:space="preserve">Object relations</w:t>
      </w:r>
    </w:p>
    <w:p>
      <w:pPr>
        <w:spacing w:after="120"/>
      </w:pPr>
      <w:r>
        <w:rPr>
          <w:color w:val="9CA3AF"/>
        </w:rPr>
        <w:t xml:space="preserve">[Internal representations of self and other: integrated or split; others trustworthy or threatening; capacity for whole-object relating; attachment style]</w:t>
      </w:r>
    </w:p>
    <w:p>
      <w:pPr>
        <w:pStyle w:val="Heading2"/>
        <w:spacing w:before="200"/>
      </w:pPr>
      <w:r>
        <w:t xml:space="preserve">Defense Mechanisms</w:t>
      </w:r>
    </w:p>
    <w:p>
      <w:pPr>
        <w:spacing w:before="60"/>
      </w:pPr>
      <w:r>
        <w:rPr>
          <w:b/>
          <w:bCs/>
        </w:rPr>
        <w:t xml:space="preserve">Defenses</w:t>
      </w:r>
    </w:p>
    <w:p>
      <w:pPr>
        <w:spacing w:after="120"/>
      </w:pPr>
      <w:r>
        <w:rPr>
          <w:color w:val="9CA3AF"/>
        </w:rPr>
        <w:t xml:space="preserve">[Characteristic defenses anchored to specific clinical observations; predominant level — primitive (splitting, denial, projection), neurotic (repression, intellectualization), or mature (sublimation, humor)]</w:t>
      </w:r>
    </w:p>
    <w:p>
      <w:pPr>
        <w:pStyle w:val="Heading2"/>
        <w:spacing w:before="200"/>
      </w:pPr>
      <w:r>
        <w:t xml:space="preserve">Central Affects &amp; Affect Regulation</w:t>
      </w:r>
    </w:p>
    <w:p>
      <w:pPr>
        <w:spacing w:before="60"/>
      </w:pPr>
      <w:r>
        <w:rPr>
          <w:b/>
          <w:bCs/>
        </w:rPr>
        <w:t xml:space="preserve">Central affects</w:t>
      </w:r>
    </w:p>
    <w:p>
      <w:pPr>
        <w:spacing w:after="120"/>
      </w:pPr>
      <w:r>
        <w:rPr>
          <w:color w:val="9CA3AF"/>
        </w:rPr>
        <w:t xml:space="preserve">[Dominant emotional states, capacity to tolerate/modulate/express them, and conspicuously absent affects]</w:t>
      </w:r>
    </w:p>
    <w:p>
      <w:pPr>
        <w:pStyle w:val="Heading2"/>
        <w:spacing w:before="200"/>
      </w:pPr>
      <w:r>
        <w:t xml:space="preserve">Transference &amp; Countertransference</w:t>
      </w:r>
    </w:p>
    <w:p>
      <w:pPr>
        <w:spacing w:before="60"/>
      </w:pPr>
      <w:r>
        <w:rPr>
          <w:b/>
          <w:bCs/>
        </w:rPr>
        <w:t xml:space="preserve">Transference patterns</w:t>
      </w:r>
    </w:p>
    <w:p>
      <w:pPr>
        <w:spacing w:after="120"/>
      </w:pPr>
      <w:r>
        <w:rPr>
          <w:color w:val="9CA3AF"/>
        </w:rPr>
        <w:t xml:space="preserve">[How early relational templates appear in the therapeutic relationship; the therapist's emotional responses as diagnostic data]</w:t>
      </w:r>
    </w:p>
    <w:p>
      <w:pPr>
        <w:pStyle w:val="Heading2"/>
        <w:spacing w:before="200"/>
      </w:pPr>
      <w:r>
        <w:t xml:space="preserve">Unconscious Conflict &amp; Central Psychodynamic Theme</w:t>
      </w:r>
    </w:p>
    <w:p>
      <w:pPr>
        <w:spacing w:before="60"/>
      </w:pPr>
      <w:r>
        <w:rPr>
          <w:b/>
          <w:bCs/>
        </w:rPr>
        <w:t xml:space="preserve">Central conflict</w:t>
      </w:r>
    </w:p>
    <w:p>
      <w:pPr>
        <w:spacing w:after="120"/>
      </w:pPr>
      <w:r>
        <w:rPr>
          <w:color w:val="9CA3AF"/>
        </w:rPr>
        <w:t xml:space="preserve">[The core tension driving symptoms and relational difficulties — e.g., wish for closeness vs. fear of engulfment — and how symptoms express or manage it]</w:t>
      </w:r>
    </w:p>
    <w:p>
      <w:pPr>
        <w:pStyle w:val="Heading2"/>
        <w:spacing w:before="200"/>
      </w:pPr>
      <w:r>
        <w:t xml:space="preserve">Formulation Summary</w:t>
      </w:r>
    </w:p>
    <w:p>
      <w:pPr>
        <w:spacing w:before="60"/>
      </w:pPr>
      <w:r>
        <w:rPr>
          <w:b/>
          <w:bCs/>
        </w:rPr>
        <w:t xml:space="preserve">Summary</w:t>
      </w:r>
    </w:p>
    <w:p>
      <w:pPr>
        <w:spacing w:after="120"/>
      </w:pPr>
      <w:r>
        <w:rPr>
          <w:color w:val="9CA3AF"/>
        </w:rPr>
        <w:t xml:space="preserve">[Coherent narrative connecting past to present and symptom to meaning; include ego strengths, adaptive capacities, and treatment implications — treat as a hypothesis to revise]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sychodynamic-formul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Psychodynamic Case Formulation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