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Psychoeducational Assessment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clinicaldocslibrary.com/assessment-reports/psychoeducational-report/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Grade / School: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Reason for Referral</w:t>
      </w:r>
    </w:p>
    <w:p>
      <w:pPr>
        <w:spacing w:before="60"/>
      </w:pPr>
      <w:r>
        <w:rPr>
          <w:b/>
          <w:bCs/>
        </w:rPr>
        <w:t xml:space="preserve">Referral</w:t>
      </w:r>
    </w:p>
    <w:p>
      <w:pPr>
        <w:spacing w:after="120"/>
      </w:pPr>
      <w:r>
        <w:rPr>
          <w:color w:val="9CA3AF"/>
        </w:rPr>
        <w:t xml:space="preserve">[Who referred the student and the specific academic or learning concerns; questions the evaluation must answer]</w:t>
      </w:r>
    </w:p>
    <w:p>
      <w:pPr>
        <w:pStyle w:val="Heading2"/>
        <w:spacing w:before="200"/>
      </w:pPr>
      <w:r>
        <w:t xml:space="preserve">Background Information</w:t>
      </w:r>
    </w:p>
    <w:p>
      <w:pPr>
        <w:spacing w:before="60"/>
      </w:pPr>
      <w:r>
        <w:rPr>
          <w:b/>
          <w:bCs/>
        </w:rPr>
        <w:t xml:space="preserve">Background</w:t>
      </w:r>
    </w:p>
    <w:p>
      <w:pPr>
        <w:spacing w:after="120"/>
      </w:pPr>
      <w:r>
        <w:rPr>
          <w:color w:val="9CA3AF"/>
        </w:rPr>
        <w:t xml:space="preserve">[Developmental history, educational history (interventions, retention, services), medical history, family history of learning difficulties, social-emotional functioning]</w:t>
      </w:r>
    </w:p>
    <w:p>
      <w:pPr>
        <w:pStyle w:val="Heading2"/>
        <w:spacing w:before="200"/>
      </w:pPr>
      <w:r>
        <w:t xml:space="preserve">Classroom Observation</w:t>
      </w:r>
    </w:p>
    <w:p>
      <w:pPr>
        <w:spacing w:before="60"/>
      </w:pPr>
      <w:r>
        <w:rPr>
          <w:b/>
          <w:bCs/>
        </w:rPr>
        <w:t xml:space="preserve">Observation</w:t>
      </w:r>
    </w:p>
    <w:p>
      <w:pPr>
        <w:spacing w:after="120"/>
      </w:pPr>
      <w:r>
        <w:rPr>
          <w:color w:val="9CA3AF"/>
        </w:rPr>
        <w:t xml:space="preserve">[Direct observation in the learning environment: engagement, work completion vs. peers, behavior during reading/writing/math tasks; observation conditions]</w:t>
      </w:r>
    </w:p>
    <w:p>
      <w:pPr>
        <w:pStyle w:val="Heading2"/>
        <w:spacing w:before="200"/>
      </w:pPr>
      <w:r>
        <w:t xml:space="preserve">Tests Administered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[Cognitive measure — e.g., WISC-V / WJ-IV Cognitive]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[Achievement battery — e.g., WJ-IV ACH / WIAT-4 / KTEA-3, with component-level subtests]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[Processing measures — e.g., CTOPP-2, Beery VMI; behavioral screener — e.g., BASC-3 parent/teacher]</w:t>
      </w:r>
    </w:p>
    <w:p>
      <w:pPr>
        <w:pStyle w:val="Heading2"/>
        <w:spacing w:before="200"/>
      </w:pPr>
      <w:r>
        <w:t xml:space="preserve">Cognitive Assessment Results</w:t>
      </w:r>
    </w:p>
    <w:p>
      <w:pPr>
        <w:spacing w:before="60"/>
      </w:pPr>
      <w:r>
        <w:rPr>
          <w:b/>
          <w:bCs/>
        </w:rPr>
        <w:t xml:space="preserve">Cognitive profile</w:t>
      </w:r>
    </w:p>
    <w:p>
      <w:pPr>
        <w:spacing w:after="120"/>
      </w:pPr>
      <w:r>
        <w:rPr>
          <w:color w:val="9CA3AF"/>
        </w:rPr>
        <w:t xml:space="preserve">[FSIQ and index scores with percentiles and classifications; strengths and relative weaknesses]</w:t>
      </w:r>
    </w:p>
    <w:p>
      <w:pPr>
        <w:pStyle w:val="Heading2"/>
        <w:spacing w:before="200"/>
      </w:pPr>
      <w:r>
        <w:t xml:space="preserve">Achievement Assessment Results</w:t>
      </w:r>
    </w:p>
    <w:p>
      <w:pPr>
        <w:spacing w:before="60"/>
      </w:pPr>
      <w:r>
        <w:rPr>
          <w:b/>
          <w:bCs/>
        </w:rPr>
        <w:t xml:space="preserve">Achievement profile</w:t>
      </w:r>
    </w:p>
    <w:p>
      <w:pPr>
        <w:spacing w:after="120"/>
      </w:pPr>
      <w:r>
        <w:rPr>
          <w:color w:val="9CA3AF"/>
        </w:rPr>
        <w:t xml:space="preserve">[Standard scores and percentiles across reading (decoding, fluency, comprehension), written language, and mathematics — report component skills, not just clusters]</w:t>
      </w:r>
    </w:p>
    <w:p>
      <w:pPr>
        <w:pStyle w:val="Heading2"/>
        <w:spacing w:before="200"/>
      </w:pPr>
      <w:r>
        <w:t xml:space="preserve">Processing &amp; Screening Results</w:t>
      </w:r>
    </w:p>
    <w:p>
      <w:pPr>
        <w:spacing w:before="60"/>
      </w:pPr>
      <w:r>
        <w:rPr>
          <w:b/>
          <w:bCs/>
        </w:rPr>
        <w:t xml:space="preserve">Processing results</w:t>
      </w:r>
    </w:p>
    <w:p>
      <w:pPr>
        <w:spacing w:after="120"/>
      </w:pPr>
      <w:r>
        <w:rPr>
          <w:color w:val="9CA3AF"/>
        </w:rPr>
        <w:t xml:space="preserve">[Phonological processing, rapid naming, visual-motor, or other measures relevant to the referral question]</w:t>
      </w:r>
    </w:p>
    <w:p>
      <w:pPr>
        <w:spacing w:before="60"/>
      </w:pPr>
      <w:r>
        <w:rPr>
          <w:b/>
          <w:bCs/>
        </w:rPr>
        <w:t xml:space="preserve">Social-emotional/behavioral screening</w:t>
      </w:r>
    </w:p>
    <w:p>
      <w:pPr>
        <w:spacing w:after="120"/>
      </w:pPr>
      <w:r>
        <w:rPr>
          <w:color w:val="9CA3AF"/>
        </w:rPr>
        <w:t xml:space="preserve">[Rating-scale findings; comorbid concerns (anxiety, attention) and secondary emotional impact of academic struggle]</w:t>
      </w:r>
    </w:p>
    <w:p>
      <w:pPr>
        <w:pStyle w:val="Heading2"/>
        <w:spacing w:before="200"/>
      </w:pPr>
      <w:r>
        <w:t xml:space="preserve">Integration &amp; Summary</w:t>
      </w:r>
    </w:p>
    <w:p>
      <w:pPr>
        <w:spacing w:before="60"/>
      </w:pPr>
      <w:r>
        <w:rPr>
          <w:b/>
          <w:bCs/>
        </w:rPr>
        <w:t xml:space="preserve">Integration</w:t>
      </w:r>
    </w:p>
    <w:p>
      <w:pPr>
        <w:spacing w:after="120"/>
      </w:pPr>
      <w:r>
        <w:rPr>
          <w:color w:val="9CA3AF"/>
        </w:rPr>
        <w:t xml:space="preserve">[Pattern analysis: ability-achievement comparison, the processing deficit explaining the achievement weakness, response to prior intervention, exclusionary factors (instruction, sensory, ELL)]</w:t>
      </w:r>
    </w:p>
    <w:p>
      <w:pPr>
        <w:pStyle w:val="Heading2"/>
        <w:spacing w:before="200"/>
      </w:pPr>
      <w:r>
        <w:t xml:space="preserve">Diagnostic Impressions</w:t>
      </w:r>
    </w:p>
    <w:p>
      <w:pPr>
        <w:spacing w:after="80"/>
      </w:pPr>
      <w:r>
        <w:rPr>
          <w:b/>
          <w:bCs/>
        </w:rPr>
        <w:t xml:space="preserve">Diagnosis (DSM-5-TR): </w:t>
      </w:r>
      <w:r>
        <w:rPr>
          <w:color w:val="9CA3AF"/>
        </w:rPr>
        <w:t xml:space="preserve">[e.g., Specific Learning Disorder with impairment in ___ , severity; or no diagnosis with explanation]</w:t>
      </w:r>
    </w:p>
    <w:p>
      <w:pPr>
        <w:spacing w:after="80"/>
      </w:pPr>
      <w:r>
        <w:rPr>
          <w:b/>
          <w:bCs/>
        </w:rPr>
        <w:t xml:space="preserve">Educational classification recommendation: </w:t>
      </w:r>
      <w:r>
        <w:rPr>
          <w:color w:val="9CA3AF"/>
        </w:rPr>
        <w:t xml:space="preserve">[IDEA SLD eligibility consideration / Section 504 accommodations]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[Named instructional programs with intensity, accommodation parameters, assistive technology, fluency practice, social-emotional monitoring, re-evaluation timeline — specific enough for the IEP team to implement]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psychoeducational-repor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Psychoeducational Assessment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