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Record Retention and Destruction Policy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clinicaldocslibrary.com/practice-forms/record-retention/</w:t>
      </w:r>
    </w:p>
    <w:p>
      <w:pPr>
        <w:spacing w:after="80"/>
      </w:pPr>
      <w:r>
        <w:rPr>
          <w:b/>
          <w:bCs/>
        </w:rPr>
        <w:t xml:space="preserve">Practice name: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Effective date / Last reviewed: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Purpose and Applicable Law</w:t>
      </w:r>
    </w:p>
    <w:p>
      <w:pPr>
        <w:spacing w:before="60"/>
      </w:pPr>
      <w:r>
        <w:rPr>
          <w:b/>
          <w:bCs/>
        </w:rPr>
        <w:t xml:space="preserve">Purpose</w:t>
      </w:r>
    </w:p>
    <w:p>
      <w:pPr>
        <w:spacing w:after="120"/>
      </w:pPr>
      <w:r>
        <w:rPr>
          <w:color w:val="9CA3AF"/>
        </w:rPr>
        <w:t xml:space="preserve">[Compliance basis: state retention statute (cite it), HIPAA documentation requirements (45 CFR 164.530(j)), and the applicable ethics code — comply with the most stringent standard]</w:t>
      </w:r>
    </w:p>
    <w:p>
      <w:pPr>
        <w:pStyle w:val="Heading2"/>
        <w:spacing w:before="200"/>
      </w:pPr>
      <w:r>
        <w:t xml:space="preserve">Scope</w:t>
      </w:r>
    </w:p>
    <w:p>
      <w:pPr>
        <w:spacing w:after="120"/>
      </w:pPr>
      <w:r>
        <w:rPr>
          <w:color w:val="9CA3AF"/>
        </w:rPr>
        <w:t xml:space="preserve">[All clinical, administrative, and financial records for all clients, paper and electronic]</w:t>
      </w:r>
    </w:p>
    <w:p>
      <w:pPr>
        <w:pStyle w:val="Heading2"/>
        <w:spacing w:before="200"/>
      </w:pPr>
      <w:r>
        <w:t xml:space="preserve">Retention Periods</w:t>
      </w:r>
    </w:p>
    <w:p>
      <w:pPr>
        <w:spacing w:after="80"/>
      </w:pPr>
      <w:r>
        <w:rPr>
          <w:b/>
          <w:bCs/>
        </w:rPr>
        <w:t xml:space="preserve">Adult clinical records: </w:t>
      </w:r>
      <w:r>
        <w:rPr>
          <w:color w:val="9CA3AF"/>
        </w:rPr>
        <w:t xml:space="preserve">[e.g., 7 years after last date of service or per state law, whichever is longer]</w:t>
      </w:r>
    </w:p>
    <w:p>
      <w:pPr>
        <w:spacing w:after="80"/>
      </w:pPr>
      <w:r>
        <w:rPr>
          <w:b/>
          <w:bCs/>
        </w:rPr>
        <w:t xml:space="preserve">Minor clinical records: </w:t>
      </w:r>
      <w:r>
        <w:rPr>
          <w:color w:val="9CA3AF"/>
        </w:rPr>
        <w:t xml:space="preserve">[Until age of majority plus the adult period, or per state law — whichever is longer]</w:t>
      </w:r>
    </w:p>
    <w:p>
      <w:pPr>
        <w:spacing w:after="80"/>
      </w:pPr>
      <w:r>
        <w:rPr>
          <w:b/>
          <w:bCs/>
        </w:rPr>
        <w:t xml:space="preserve">Psychotherapy notes (if maintained separately):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Psychological testing records / raw data: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HIPAA administrative records: </w:t>
      </w:r>
      <w:r>
        <w:rPr>
          <w:color w:val="9CA3AF"/>
        </w:rPr>
        <w:t xml:space="preserve">[6 years from creation or last effective date, whichever is later]</w:t>
      </w:r>
    </w:p>
    <w:p>
      <w:pPr>
        <w:spacing w:after="80"/>
      </w:pPr>
      <w:r>
        <w:rPr>
          <w:b/>
          <w:bCs/>
        </w:rPr>
        <w:t xml:space="preserve">Billing and financial records: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Informed consents, authorizations, correspondence: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Storage and Security</w:t>
      </w:r>
    </w:p>
    <w:p>
      <w:pPr>
        <w:spacing w:before="60"/>
      </w:pPr>
      <w:r>
        <w:rPr>
          <w:b/>
          <w:bCs/>
        </w:rPr>
        <w:t xml:space="preserve">Paper records</w:t>
      </w:r>
    </w:p>
    <w:p>
      <w:pPr>
        <w:spacing w:after="120"/>
      </w:pPr>
      <w:r>
        <w:rPr>
          <w:color w:val="9CA3AF"/>
        </w:rPr>
        <w:t xml:space="preserve">[Locked, fireproof storage; access limited to named persons; physical office security]</w:t>
      </w:r>
    </w:p>
    <w:p>
      <w:pPr>
        <w:spacing w:before="60"/>
      </w:pPr>
      <w:r>
        <w:rPr>
          <w:b/>
          <w:bCs/>
        </w:rPr>
        <w:t xml:space="preserve">Electronic records</w:t>
      </w:r>
    </w:p>
    <w:p>
      <w:pPr>
        <w:spacing w:after="120"/>
      </w:pPr>
      <w:r>
        <w:rPr>
          <w:color w:val="9CA3AF"/>
        </w:rPr>
        <w:t xml:space="preserve">[HIPAA-compliant EHR, encryption at rest and in transit, unique credentials and MFA, backup schedule and location, audit logs]</w:t>
      </w:r>
    </w:p>
    <w:p>
      <w:pPr>
        <w:pStyle w:val="Heading2"/>
        <w:spacing w:before="200"/>
      </w:pPr>
      <w:r>
        <w:t xml:space="preserve">Destruction Procedures</w:t>
      </w:r>
    </w:p>
    <w:p>
      <w:pPr>
        <w:spacing w:before="60"/>
      </w:pPr>
      <w:r>
        <w:rPr>
          <w:b/>
          <w:bCs/>
        </w:rPr>
        <w:t xml:space="preserve">Methods</w:t>
      </w:r>
    </w:p>
    <w:p>
      <w:pPr>
        <w:spacing w:after="120"/>
      </w:pPr>
      <w:r>
        <w:rPr>
          <w:color w:val="9CA3AF"/>
        </w:rPr>
        <w:t xml:space="preserve">[Paper: cross-cut shredding or a HIPAA-compliant shredding service with certificate of destruction. Electronic: permanent deletion including backups; media sanitized per NIST 800-88 or physically destroyed]</w:t>
      </w:r>
    </w:p>
    <w:p>
      <w:pPr>
        <w:spacing w:before="60"/>
      </w:pPr>
      <w:r>
        <w:rPr>
          <w:b/>
          <w:bCs/>
        </w:rPr>
        <w:t xml:space="preserve">Destruction log</w:t>
      </w:r>
    </w:p>
    <w:p>
      <w:pPr>
        <w:spacing w:after="120"/>
      </w:pPr>
      <w:r>
        <w:rPr>
          <w:color w:val="9CA3AF"/>
        </w:rPr>
        <w:t xml:space="preserve">[For each destruction record: client identifier (initials/ID only), date range of records, date and method of destruction, person responsible — retain the log permanently]</w:t>
      </w:r>
    </w:p>
    <w:p>
      <w:pPr>
        <w:pStyle w:val="Heading2"/>
        <w:spacing w:before="200"/>
      </w:pPr>
      <w:r>
        <w:t xml:space="preserve">Exceptions and Litigation Holds</w:t>
      </w:r>
    </w:p>
    <w:p>
      <w:pPr>
        <w:spacing w:before="60"/>
      </w:pPr>
      <w:r>
        <w:rPr>
          <w:b/>
          <w:bCs/>
        </w:rPr>
        <w:t xml:space="preserve">Holds</w:t>
      </w:r>
    </w:p>
    <w:p>
      <w:pPr>
        <w:spacing w:after="120"/>
      </w:pPr>
      <w:r>
        <w:rPr>
          <w:color w:val="9CA3AF"/>
        </w:rPr>
        <w:t xml:space="preserve">[Suspend destruction when litigation, complaint, investigation, or an unfulfilled records request is pending or reasonably anticipated; hold remains until fully resolved]</w:t>
      </w:r>
    </w:p>
    <w:p>
      <w:pPr>
        <w:pStyle w:val="Heading2"/>
        <w:spacing w:before="200"/>
      </w:pPr>
      <w:r>
        <w:t xml:space="preserve">Practice Closure, Incapacity, or Death</w:t>
      </w:r>
    </w:p>
    <w:p>
      <w:pPr>
        <w:spacing w:after="80"/>
      </w:pPr>
      <w:r>
        <w:rPr>
          <w:b/>
          <w:bCs/>
        </w:rPr>
        <w:t xml:space="preserve">Designated records custodian (name / credentials / contact): </w:t>
      </w:r>
      <w:r>
        <w:rPr>
          <w:color w:val="9CA3AF"/>
        </w:rPr>
        <w:t xml:space="preserve">[ ____________________________________ ]</w:t>
      </w:r>
    </w:p>
    <w:p>
      <w:pPr>
        <w:spacing w:before="60"/>
      </w:pPr>
      <w:r>
        <w:rPr>
          <w:b/>
          <w:bCs/>
        </w:rPr>
        <w:t xml:space="preserve">Custodian duties</w:t>
      </w:r>
    </w:p>
    <w:p>
      <w:pPr>
        <w:spacing w:after="120"/>
      </w:pPr>
      <w:r>
        <w:rPr>
          <w:color w:val="9CA3AF"/>
        </w:rPr>
        <w:t xml:space="preserve">[Secure records, notify active clients, respond to authorized requests, maintain records for the full retention period, destroy per this policy; execute a written custodian agreement]</w:t>
      </w:r>
    </w:p>
    <w:p>
      <w:pPr>
        <w:pStyle w:val="Heading2"/>
        <w:spacing w:before="200"/>
      </w:pPr>
      <w:r>
        <w:t xml:space="preserve">Annual Review</w:t>
      </w:r>
    </w:p>
    <w:p>
      <w:pPr>
        <w:spacing w:after="80"/>
      </w:pPr>
      <w:r>
        <w:rPr>
          <w:b/>
          <w:bCs/>
        </w:rPr>
        <w:t xml:space="preserve">Next scheduled review 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Approved by (signature / credentials / date):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record-reten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 Retention and Destruction Policy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