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Social Media and Digital Communication Policy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clinicaldocslibrary.com/practice-forms/social-media-policy/</w:t>
      </w:r>
    </w:p>
    <w:p>
      <w:pPr>
        <w:spacing w:after="80"/>
      </w:pPr>
      <w:r>
        <w:rPr>
          <w:b/>
          <w:bCs/>
        </w:rPr>
        <w:t xml:space="preserve">Practice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Effective date: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Social Media Connections</w:t>
      </w:r>
    </w:p>
    <w:p>
      <w:pPr>
        <w:spacing w:before="60"/>
      </w:pPr>
      <w:r>
        <w:rPr>
          <w:b/>
          <w:bCs/>
        </w:rPr>
        <w:t xml:space="preserve">Connections</w:t>
      </w:r>
    </w:p>
    <w:p>
      <w:pPr>
        <w:spacing w:after="120"/>
      </w:pPr>
      <w:r>
        <w:rPr>
          <w:color w:val="9CA3AF"/>
        </w:rPr>
        <w:t xml:space="preserve">[Policy on friend/follow requests from current clients on personal platforms, with the privacy, boundary, and clinical rationale; whether a professional/practice page exists and how clients may interact with it]</w:t>
      </w:r>
    </w:p>
    <w:p>
      <w:pPr>
        <w:pStyle w:val="Heading2"/>
        <w:spacing w:before="200"/>
      </w:pPr>
      <w:r>
        <w:t xml:space="preserve">Online Searches</w:t>
      </w:r>
    </w:p>
    <w:p>
      <w:pPr>
        <w:spacing w:before="60"/>
      </w:pPr>
      <w:r>
        <w:rPr>
          <w:b/>
          <w:bCs/>
        </w:rPr>
        <w:t xml:space="preserve">Searches</w:t>
      </w:r>
    </w:p>
    <w:p>
      <w:pPr>
        <w:spacing w:after="120"/>
      </w:pPr>
      <w:r>
        <w:rPr>
          <w:color w:val="9CA3AF"/>
        </w:rPr>
        <w:t xml:space="preserve">[Whether the therapist searches for clients online; any safety-based exception (e.g., unreachable client with a welfare concern) and how discovered information will be discussed]</w:t>
      </w:r>
    </w:p>
    <w:p>
      <w:pPr>
        <w:pStyle w:val="Heading2"/>
        <w:spacing w:before="200"/>
      </w:pPr>
      <w:r>
        <w:t xml:space="preserve">Digital Communications</w:t>
      </w:r>
    </w:p>
    <w:p>
      <w:pPr>
        <w:spacing w:after="80"/>
      </w:pPr>
      <w:r>
        <w:rPr>
          <w:b/>
          <w:bCs/>
        </w:rPr>
        <w:t xml:space="preserve">Email policy: </w:t>
      </w:r>
      <w:r>
        <w:rPr>
          <w:color w:val="9CA3AF"/>
        </w:rPr>
        <w:t xml:space="preserve">[Address and permitted uses — typically scheduling/administrative only; note that email is not fully secure]</w:t>
      </w:r>
    </w:p>
    <w:p>
      <w:pPr>
        <w:spacing w:after="80"/>
      </w:pPr>
      <w:r>
        <w:rPr>
          <w:b/>
          <w:bCs/>
        </w:rPr>
        <w:t xml:space="preserve">Text messaging policy: </w:t>
      </w:r>
      <w:r>
        <w:rPr>
          <w:color w:val="9CA3AF"/>
        </w:rPr>
        <w:t xml:space="preserve">[Not used / scheduling only at a stated number — never clinical content or emergencies]</w:t>
      </w:r>
    </w:p>
    <w:p>
      <w:pPr>
        <w:spacing w:before="60"/>
      </w:pPr>
      <w:r>
        <w:rPr>
          <w:b/>
          <w:bCs/>
        </w:rPr>
        <w:t xml:space="preserve">Social media direct messages</w:t>
      </w:r>
    </w:p>
    <w:p>
      <w:pPr>
        <w:spacing w:after="120"/>
      </w:pPr>
      <w:r>
        <w:rPr>
          <w:color w:val="9CA3AF"/>
        </w:rPr>
        <w:t xml:space="preserve">[Policy of not responding to clinical content via DMs and how such contacts will be addressed in session]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Emergencies: digital channels are not monitored continuously. In crisis, call 911, go to the nearest ER, or call/text 988.</w:t>
      </w:r>
    </w:p>
    <w:p>
      <w:pPr>
        <w:pStyle w:val="Heading2"/>
        <w:spacing w:before="200"/>
      </w:pPr>
      <w:r>
        <w:t xml:space="preserve">Online Reviews</w:t>
      </w:r>
    </w:p>
    <w:p>
      <w:pPr>
        <w:spacing w:before="60"/>
      </w:pPr>
      <w:r>
        <w:rPr>
          <w:b/>
          <w:bCs/>
        </w:rPr>
        <w:t xml:space="preserve">Reviews</w:t>
      </w:r>
    </w:p>
    <w:p>
      <w:pPr>
        <w:spacing w:after="120"/>
      </w:pPr>
      <w:r>
        <w:rPr>
          <w:color w:val="9CA3AF"/>
        </w:rPr>
        <w:t xml:space="preserve">[HIPAA prohibits confirming or denying that any reviewer is a client; the therapist will not respond with clinical information; invitation to raise concerns directly; note that a posted review discloses the client's own treatment status]</w:t>
      </w:r>
    </w:p>
    <w:p>
      <w:pPr>
        <w:pStyle w:val="Heading2"/>
        <w:spacing w:before="200"/>
      </w:pPr>
      <w:r>
        <w:t xml:space="preserve">Client Social Media Use and Therapy</w:t>
      </w:r>
    </w:p>
    <w:p>
      <w:pPr>
        <w:spacing w:before="60"/>
      </w:pPr>
      <w:r>
        <w:rPr>
          <w:b/>
          <w:bCs/>
        </w:rPr>
        <w:t xml:space="preserve">Client posts</w:t>
      </w:r>
    </w:p>
    <w:p>
      <w:pPr>
        <w:spacing w:after="120"/>
      </w:pPr>
      <w:r>
        <w:rPr>
          <w:color w:val="9CA3AF"/>
        </w:rPr>
        <w:t xml:space="preserve">[Clients may discuss their own treatment, but digital content is permanent; group members must never reference other members; consider long-term privacy implications]</w:t>
      </w:r>
    </w:p>
    <w:p>
      <w:pPr>
        <w:pStyle w:val="Heading2"/>
        <w:spacing w:before="200"/>
      </w:pPr>
      <w:r>
        <w:t xml:space="preserve">Former Clients</w:t>
      </w:r>
    </w:p>
    <w:p>
      <w:pPr>
        <w:spacing w:before="60"/>
      </w:pPr>
      <w:r>
        <w:rPr>
          <w:b/>
          <w:bCs/>
        </w:rPr>
        <w:t xml:space="preserve">Former clients</w:t>
      </w:r>
    </w:p>
    <w:p>
      <w:pPr>
        <w:spacing w:after="120"/>
      </w:pPr>
      <w:r>
        <w:rPr>
          <w:color w:val="9CA3AF"/>
        </w:rPr>
        <w:t xml:space="preserve">[Whether boundaries continue after termination and for how long, with the rationale]</w:t>
      </w:r>
    </w:p>
    <w:p>
      <w:pPr>
        <w:pStyle w:val="Heading2"/>
        <w:spacing w:before="200"/>
      </w:pPr>
      <w:r>
        <w:t xml:space="preserve">Professional Content</w:t>
      </w:r>
    </w:p>
    <w:p>
      <w:pPr>
        <w:spacing w:before="60"/>
      </w:pPr>
      <w:r>
        <w:rPr>
          <w:b/>
          <w:bCs/>
        </w:rPr>
        <w:t xml:space="preserve">Professional content</w:t>
      </w:r>
    </w:p>
    <w:p>
      <w:pPr>
        <w:spacing w:after="120"/>
      </w:pPr>
      <w:r>
        <w:rPr>
          <w:color w:val="9CA3AF"/>
        </w:rPr>
        <w:t xml:space="preserve">[Educational posts are general in nature and never based on any specific client's material]</w:t>
      </w:r>
    </w:p>
    <w:p>
      <w:pPr>
        <w:pStyle w:val="Heading2"/>
        <w:spacing w:before="200"/>
      </w:pPr>
      <w:r>
        <w:t xml:space="preserve">Acknowledgment</w:t>
      </w:r>
    </w:p>
    <w:p>
      <w:pPr>
        <w:spacing w:after="80"/>
      </w:pPr>
      <w:r>
        <w:rPr>
          <w:b/>
          <w:bCs/>
        </w:rPr>
        <w:t xml:space="preserve">Client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ocial-media-policy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Digital Communication Policy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