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Supervisee Competency Evaluation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clinicaldocslibrary.com/supervision/supervisee-evaluation/</w:t>
      </w:r>
    </w:p>
    <w:p>
      <w:pPr>
        <w:spacing w:after="80"/>
      </w:pPr>
      <w:r>
        <w:rPr>
          <w:b/>
          <w:bCs/>
        </w:rPr>
        <w:t xml:space="preserve">Evaluation type: </w:t>
      </w:r>
      <w:r>
        <w:rPr>
          <w:color w:val="9CA3AF"/>
        </w:rPr>
        <w:t xml:space="preserve">[Mid-year formative / end-of-year summative / quarterly / other]</w:t>
      </w:r>
    </w:p>
    <w:p>
      <w:pPr>
        <w:spacing w:after="80"/>
      </w:pPr>
      <w:r>
        <w:rPr>
          <w:b/>
          <w:bCs/>
        </w:rPr>
        <w:t xml:space="preserve">Evaluation period (start – end dates):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Supervisor / Credentials / License #: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Supervisee / Credentials / Registration #: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Training level / Clinical setting / Current caseload: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Rating scale: 1 = Does not meet expectations (remediation required); 2 = Partially meets expectations; 3 = Meets expectations for training level; 4 = Exceeds expectations; 5 = Outstanding (near independent-practice level). Anchor every rating to observed behavior from your supervision notes.</w:t>
      </w:r>
    </w:p>
    <w:p>
      <w:pPr>
        <w:pStyle w:val="Heading2"/>
        <w:spacing w:before="200"/>
      </w:pPr>
      <w:r>
        <w:t xml:space="preserve">Domain 1 — Assessment and Diagnosis</w:t>
      </w:r>
    </w:p>
    <w:p>
      <w:pPr>
        <w:spacing w:before="60"/>
      </w:pPr>
      <w:r>
        <w:rPr>
          <w:b/>
          <w:bCs/>
        </w:rPr>
        <w:t xml:space="preserve">Ratings and narrative</w:t>
      </w:r>
    </w:p>
    <w:p>
      <w:pPr>
        <w:spacing w:after="120"/>
      </w:pPr>
      <w:r>
        <w:rPr>
          <w:color w:val="9CA3AF"/>
        </w:rPr>
        <w:t xml:space="preserve">[Rate 1–5: instrument selection, administration/scoring accuracy, integration of data into formulation, DSM-5-TR diagnostic accuracy, communication of findings, cultural adaptation. Narrative: one strength and one growth area with specific examples]</w:t>
      </w:r>
    </w:p>
    <w:p>
      <w:pPr>
        <w:pStyle w:val="Heading2"/>
        <w:spacing w:before="200"/>
      </w:pPr>
      <w:r>
        <w:t xml:space="preserve">Domain 2 — Intervention and Treatment Planning</w:t>
      </w:r>
    </w:p>
    <w:p>
      <w:pPr>
        <w:spacing w:before="60"/>
      </w:pPr>
      <w:r>
        <w:rPr>
          <w:b/>
          <w:bCs/>
        </w:rPr>
        <w:t xml:space="preserve">Ratings and narrative</w:t>
      </w:r>
    </w:p>
    <w:p>
      <w:pPr>
        <w:spacing w:after="120"/>
      </w:pPr>
      <w:r>
        <w:rPr>
          <w:color w:val="9CA3AF"/>
        </w:rPr>
        <w:t xml:space="preserve">[Rate 1–5: evidence-based treatment planning, intervention delivery, therapeutic alliance, outcome monitoring, adapting when clients are not responding, termination management. Narrative with examples]</w:t>
      </w:r>
    </w:p>
    <w:p>
      <w:pPr>
        <w:pStyle w:val="Heading2"/>
        <w:spacing w:before="200"/>
      </w:pPr>
      <w:r>
        <w:t xml:space="preserve">Domain 3 — Ethical and Legal Practice</w:t>
      </w:r>
    </w:p>
    <w:p>
      <w:pPr>
        <w:spacing w:before="60"/>
      </w:pPr>
      <w:r>
        <w:rPr>
          <w:b/>
          <w:bCs/>
        </w:rPr>
        <w:t xml:space="preserve">Ratings and narrative</w:t>
      </w:r>
    </w:p>
    <w:p>
      <w:pPr>
        <w:spacing w:after="120"/>
      </w:pPr>
      <w:r>
        <w:rPr>
          <w:color w:val="9CA3AF"/>
        </w:rPr>
        <w:t xml:space="preserve">[Rate 1–5: ethics-code knowledge, state/federal law (mandated reporting, HIPAA, duty to warn), dilemma identification, consultation behavior, documentation of ethical reasoning. Narrative with examples]</w:t>
      </w:r>
    </w:p>
    <w:p>
      <w:pPr>
        <w:pStyle w:val="Heading2"/>
        <w:spacing w:before="200"/>
      </w:pPr>
      <w:r>
        <w:t xml:space="preserve">Domain 4 — Individual and Cultural Diversity</w:t>
      </w:r>
    </w:p>
    <w:p>
      <w:pPr>
        <w:spacing w:before="60"/>
      </w:pPr>
      <w:r>
        <w:rPr>
          <w:b/>
          <w:bCs/>
        </w:rPr>
        <w:t xml:space="preserve">Ratings and narrative</w:t>
      </w:r>
    </w:p>
    <w:p>
      <w:pPr>
        <w:spacing w:after="120"/>
      </w:pPr>
      <w:r>
        <w:rPr>
          <w:color w:val="9CA3AF"/>
        </w:rPr>
        <w:t xml:space="preserve">[Rate 1–5: awareness of own identity and biases, cultural factors in presentation and treatment, adapted interventions, affirming stance, ongoing self-reflection. Narrative with examples]</w:t>
      </w:r>
    </w:p>
    <w:p>
      <w:pPr>
        <w:pStyle w:val="Heading2"/>
        <w:spacing w:before="200"/>
      </w:pPr>
      <w:r>
        <w:t xml:space="preserve">Domain 5 — Professional Values, Attitudes, and Behavior</w:t>
      </w:r>
    </w:p>
    <w:p>
      <w:pPr>
        <w:spacing w:before="60"/>
      </w:pPr>
      <w:r>
        <w:rPr>
          <w:b/>
          <w:bCs/>
        </w:rPr>
        <w:t xml:space="preserve">Ratings and narrative</w:t>
      </w:r>
    </w:p>
    <w:p>
      <w:pPr>
        <w:spacing w:after="120"/>
      </w:pPr>
      <w:r>
        <w:rPr>
          <w:color w:val="9CA3AF"/>
        </w:rPr>
        <w:t xml:space="preserve">[Rate 1–5: reliability, boundaries, respectful communication, receiving feedback, self-awareness/reflective practice, professional development. Narrative with examples]</w:t>
      </w:r>
    </w:p>
    <w:p>
      <w:pPr>
        <w:pStyle w:val="Heading2"/>
        <w:spacing w:before="200"/>
      </w:pPr>
      <w:r>
        <w:t xml:space="preserve">Domain 6 — Clinical Documentation</w:t>
      </w:r>
    </w:p>
    <w:p>
      <w:pPr>
        <w:spacing w:before="60"/>
      </w:pPr>
      <w:r>
        <w:rPr>
          <w:b/>
          <w:bCs/>
        </w:rPr>
        <w:t xml:space="preserve">Ratings and narrative</w:t>
      </w:r>
    </w:p>
    <w:p>
      <w:pPr>
        <w:spacing w:after="120"/>
      </w:pPr>
      <w:r>
        <w:rPr>
          <w:color w:val="9CA3AF"/>
        </w:rPr>
        <w:t xml:space="preserve">[Rate 1–5: clear and accurate notes, treatment plans, timeliness, HIPAA compliance, documented clinical reasoning. Narrative with examples]</w:t>
      </w:r>
    </w:p>
    <w:p>
      <w:pPr>
        <w:pStyle w:val="Heading2"/>
        <w:spacing w:before="200"/>
      </w:pPr>
      <w:r>
        <w:t xml:space="preserve">Domain 7 — Supervision Utilization</w:t>
      </w:r>
    </w:p>
    <w:p>
      <w:pPr>
        <w:spacing w:before="60"/>
      </w:pPr>
      <w:r>
        <w:rPr>
          <w:b/>
          <w:bCs/>
        </w:rPr>
        <w:t xml:space="preserve">Ratings and narrative</w:t>
      </w:r>
    </w:p>
    <w:p>
      <w:pPr>
        <w:spacing w:after="120"/>
      </w:pPr>
      <w:r>
        <w:rPr>
          <w:color w:val="9CA3AF"/>
        </w:rPr>
        <w:t xml:space="preserve">[Rate 1–5: preparation, honest presentation of challenging cases, openness to feedback, implementing directives, identifying own learning needs. Narrative with examples]</w:t>
      </w:r>
    </w:p>
    <w:p>
      <w:pPr>
        <w:pStyle w:val="Heading2"/>
        <w:spacing w:before="200"/>
      </w:pPr>
      <w:r>
        <w:t xml:space="preserve">Overall Summary</w:t>
      </w:r>
    </w:p>
    <w:p>
      <w:pPr>
        <w:spacing w:after="80"/>
      </w:pPr>
      <w:r>
        <w:rPr>
          <w:b/>
          <w:bCs/>
        </w:rPr>
        <w:t xml:space="preserve">Overall rating: </w:t>
      </w:r>
      <w:r>
        <w:rPr>
          <w:color w:val="9CA3AF"/>
        </w:rPr>
        <w:t xml:space="preserve">[Composite rating with descriptor]</w:t>
      </w:r>
    </w:p>
    <w:p>
      <w:pPr>
        <w:spacing w:before="60"/>
      </w:pPr>
      <w:r>
        <w:rPr>
          <w:b/>
          <w:bCs/>
        </w:rPr>
        <w:t xml:space="preserve">Summary narrative</w:t>
      </w:r>
    </w:p>
    <w:p>
      <w:pPr>
        <w:spacing w:after="120"/>
      </w:pPr>
      <w:r>
        <w:rPr>
          <w:color w:val="9CA3AF"/>
        </w:rPr>
        <w:t xml:space="preserve">[Developmental trajectory relative to training level; top 2–3 priorities for the next evaluation period; link back to supervision-contract goals]</w:t>
      </w:r>
    </w:p>
    <w:p>
      <w:pPr>
        <w:spacing w:after="80"/>
      </w:pPr>
      <w:r>
        <w:rPr>
          <w:b/>
          <w:bCs/>
        </w:rPr>
        <w:t xml:space="preserve">Recommendation: </w:t>
      </w:r>
      <w:r>
        <w:rPr>
          <w:color w:val="9CA3AF"/>
        </w:rPr>
        <w:t xml:space="preserve">[Continue at current level / continue with focused goals / remediation plan required — state next steps]</w:t>
      </w:r>
    </w:p>
    <w:p>
      <w:pPr>
        <w:pStyle w:val="Heading2"/>
        <w:spacing w:before="200"/>
      </w:pPr>
      <w:r>
        <w:t xml:space="preserve">Signatures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Review in a dedicated session. The supervisee's signature acknowledges review, not agreement; attach any written response to this evaluation.</w:t>
      </w:r>
    </w:p>
    <w:p>
      <w:pPr>
        <w:spacing w:after="80"/>
      </w:pPr>
      <w:r>
        <w:rPr>
          <w:b/>
          <w:bCs/>
        </w:rPr>
        <w:t xml:space="preserve">Supervisee signature / Date / Optional comments attached (Y/N):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Supervisor 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supervisee-evalu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Supervisee Competency Evaluation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