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Clinical Supervision Note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clinicaldocslibrary.com/supervision/supervision-notes/</w:t>
      </w:r>
    </w:p>
    <w:p>
      <w:pPr>
        <w:spacing w:after="80"/>
      </w:pPr>
      <w:r>
        <w:rPr>
          <w:b/>
          <w:bCs/>
        </w:rPr>
        <w:t xml:space="preserve">Supervisor / Credentials / License #: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Supervisee / Credentials / Registration #: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/ Start–end time / Duration: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Format: </w:t>
      </w:r>
      <w:r>
        <w:rPr>
          <w:color w:val="9CA3AF"/>
        </w:rPr>
        <w:t xml:space="preserve">[Individual / triadic / group]</w:t>
      </w:r>
    </w:p>
    <w:p>
      <w:pPr>
        <w:spacing w:after="80"/>
      </w:pPr>
      <w:r>
        <w:rPr>
          <w:b/>
          <w:bCs/>
        </w:rPr>
        <w:t xml:space="preserve">Modality: </w:t>
      </w:r>
      <w:r>
        <w:rPr>
          <w:color w:val="9CA3AF"/>
        </w:rPr>
        <w:t xml:space="preserve">[In person / telehealth]</w:t>
      </w:r>
    </w:p>
    <w:p>
      <w:pPr>
        <w:spacing w:after="80"/>
      </w:pPr>
      <w:r>
        <w:rPr>
          <w:b/>
          <w:bCs/>
        </w:rPr>
        <w:t xml:space="preserve">Supervision type: </w:t>
      </w:r>
      <w:r>
        <w:rPr>
          <w:color w:val="9CA3AF"/>
        </w:rPr>
        <w:t xml:space="preserve">[Practicum / internship / post-degree pre-licensure — counting toward licensure hours?]</w:t>
      </w:r>
    </w:p>
    <w:p>
      <w:pPr>
        <w:pStyle w:val="Heading2"/>
        <w:spacing w:before="200"/>
      </w:pPr>
      <w:r>
        <w:t xml:space="preserve">Prior Action Items Reviewed</w:t>
      </w:r>
    </w:p>
    <w:p>
      <w:pPr>
        <w:spacing w:before="60"/>
      </w:pPr>
      <w:r>
        <w:rPr>
          <w:b/>
          <w:bCs/>
        </w:rPr>
        <w:t xml:space="preserve">Follow-up</w:t>
      </w:r>
    </w:p>
    <w:p>
      <w:pPr>
        <w:spacing w:after="120"/>
      </w:pPr>
      <w:r>
        <w:rPr>
          <w:color w:val="9CA3AF"/>
        </w:rPr>
        <w:t xml:space="preserve">[Status of each action item from the previous session — completed, in progress, or outstanding]</w:t>
      </w:r>
    </w:p>
    <w:p>
      <w:pPr>
        <w:pStyle w:val="Heading2"/>
        <w:spacing w:before="200"/>
      </w:pPr>
      <w:r>
        <w:t xml:space="preserve">Cases Reviewed</w:t>
      </w:r>
    </w:p>
    <w:p>
      <w:pPr>
        <w:spacing w:before="60"/>
      </w:pPr>
      <w:r>
        <w:rPr>
          <w:b/>
          <w:bCs/>
        </w:rPr>
        <w:t xml:space="preserve">Case 1</w:t>
      </w:r>
    </w:p>
    <w:p>
      <w:pPr>
        <w:spacing w:after="120"/>
      </w:pPr>
      <w:r>
        <w:rPr>
          <w:color w:val="9CA3AF"/>
        </w:rPr>
        <w:t xml:space="preserve">[Client identifier (initials/case number), presenting concern, clinical issue raised, supervisor feedback with rationale, any directive given]</w:t>
      </w:r>
    </w:p>
    <w:p>
      <w:pPr>
        <w:spacing w:before="60"/>
      </w:pPr>
      <w:r>
        <w:rPr>
          <w:b/>
          <w:bCs/>
        </w:rPr>
        <w:t xml:space="preserve">Case 2</w:t>
      </w:r>
    </w:p>
    <w:p>
      <w:pPr>
        <w:spacing w:after="120"/>
      </w:pPr>
      <w:r>
        <w:rPr>
          <w:color w:val="9CA3AF"/>
        </w:rPr>
        <w:t xml:space="preserve">[ ... ]</w:t>
      </w:r>
    </w:p>
    <w:p>
      <w:pPr>
        <w:spacing w:before="60"/>
      </w:pPr>
      <w:r>
        <w:rPr>
          <w:b/>
          <w:bCs/>
        </w:rPr>
        <w:t xml:space="preserve">Case 3</w:t>
      </w:r>
    </w:p>
    <w:p>
      <w:pPr>
        <w:spacing w:after="120"/>
      </w:pPr>
      <w:r>
        <w:rPr>
          <w:color w:val="9CA3AF"/>
        </w:rPr>
        <w:t xml:space="preserve">[ ... ]</w:t>
      </w:r>
    </w:p>
    <w:p>
      <w:pPr>
        <w:pStyle w:val="Heading2"/>
        <w:spacing w:before="200"/>
      </w:pPr>
      <w:r>
        <w:t xml:space="preserve">Skills and Competencies Addressed</w:t>
      </w:r>
    </w:p>
    <w:p>
      <w:pPr>
        <w:spacing w:before="60"/>
      </w:pPr>
      <w:r>
        <w:rPr>
          <w:b/>
          <w:bCs/>
        </w:rPr>
        <w:t xml:space="preserve">Competencies</w:t>
      </w:r>
    </w:p>
    <w:p>
      <w:pPr>
        <w:spacing w:after="120"/>
      </w:pPr>
      <w:r>
        <w:rPr>
          <w:color w:val="9CA3AF"/>
        </w:rPr>
        <w:t xml:space="preserve">[Which domains this session addressed — assessment/diagnosis, intervention, ethical and legal standards, diversity, documentation, professional development]</w:t>
      </w:r>
    </w:p>
    <w:p>
      <w:pPr>
        <w:pStyle w:val="Heading2"/>
        <w:spacing w:before="200"/>
      </w:pPr>
      <w:r>
        <w:t xml:space="preserve">Ethical or Legal Issues Discussed</w:t>
      </w:r>
    </w:p>
    <w:p>
      <w:pPr>
        <w:spacing w:before="60"/>
      </w:pPr>
      <w:r>
        <w:rPr>
          <w:b/>
          <w:bCs/>
        </w:rPr>
        <w:t xml:space="preserve">Ethical/legal</w:t>
      </w:r>
    </w:p>
    <w:p>
      <w:pPr>
        <w:spacing w:after="120"/>
      </w:pPr>
      <w:r>
        <w:rPr>
          <w:color w:val="9CA3AF"/>
        </w:rPr>
        <w:t xml:space="preserve">[Mandated reporting analyses, confidentiality questions, boundary issues, subpoenas — the standard applied and the course of action decided]</w:t>
      </w:r>
    </w:p>
    <w:p>
      <w:pPr>
        <w:pStyle w:val="Heading2"/>
        <w:spacing w:before="200"/>
      </w:pPr>
      <w:r>
        <w:t xml:space="preserve">Risk Management</w:t>
      </w:r>
    </w:p>
    <w:p>
      <w:pPr>
        <w:spacing w:after="80"/>
      </w:pPr>
      <w:r>
        <w:rPr>
          <w:b/>
          <w:bCs/>
        </w:rPr>
        <w:t xml:space="preserve">Client safety concerns: </w:t>
      </w:r>
      <w:r>
        <w:rPr>
          <w:color w:val="9CA3AF"/>
        </w:rPr>
        <w:t xml:space="preserve">[Any clients with SI/HI/self-harm discussed: the supervisee's assessment, your guidance, and the safety plan — or note that none were reported]</w:t>
      </w:r>
    </w:p>
    <w:p>
      <w:pPr>
        <w:pStyle w:val="Heading2"/>
        <w:spacing w:before="200"/>
      </w:pPr>
      <w:r>
        <w:t xml:space="preserve">Supervisee Development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[At least one specific strength and one growth area; engagement and receptivity to feedback; distinguish what the supervisee reported from what you observed and what you concluded]</w:t>
      </w:r>
    </w:p>
    <w:p>
      <w:pPr>
        <w:pStyle w:val="Heading2"/>
        <w:spacing w:before="200"/>
      </w:pPr>
      <w:r>
        <w:t xml:space="preserve">Action Items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[Supervisee action item 1 — specific and reviewable at the next session]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[Supervisee action item 2 — ... 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[Supervisor follow-up item — ... ]</w:t>
      </w:r>
    </w:p>
    <w:p>
      <w:pPr>
        <w:spacing w:after="80"/>
      </w:pPr>
      <w:r>
        <w:rPr>
          <w:b/>
          <w:bCs/>
        </w:rPr>
        <w:t xml:space="preserve">Next supervision session (date / time):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Write within 24 hours of the session. Store in the supervisory record, never in any client's chart. Supervision notes are discoverable — keep them factual and professional.</w:t>
      </w:r>
    </w:p>
    <w:p>
      <w:pPr>
        <w:spacing w:after="80"/>
      </w:pPr>
      <w:r>
        <w:rPr>
          <w:b/>
          <w:bCs/>
        </w:rPr>
        <w:t xml:space="preserve">Supervisor 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upervision-notes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Supervision Note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