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U-Visa / VAWA Psychological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clinicaldocslibrary.com/forensic-legal/u-visa-evaluation/</w:t>
      </w:r>
    </w:p>
    <w:p>
      <w:pPr>
        <w:spacing w:after="80"/>
      </w:pPr>
      <w:r>
        <w:rPr>
          <w:b/>
          <w:bCs/>
        </w:rPr>
        <w:t xml:space="preserve">Applicant / country of origin / age: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Immigration relief sought: </w:t>
      </w:r>
      <w:r>
        <w:rPr>
          <w:color w:val="9CA3AF"/>
        </w:rPr>
        <w:t xml:space="preserve">[U nonimmigrant status (I-918), VAWA self-petition (I-360), or both]</w:t>
      </w:r>
    </w:p>
    <w:p>
      <w:pPr>
        <w:spacing w:after="80"/>
      </w:pPr>
      <w:r>
        <w:rPr>
          <w:b/>
          <w:bCs/>
        </w:rPr>
        <w:t xml:space="preserve">Qualifying criminal activity / nature of abusive relationship: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Referring attorney / referral questions: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Language of evaluation / interpreter: </w:t>
      </w:r>
      <w:r>
        <w:rPr>
          <w:color w:val="9CA3AF"/>
        </w:rPr>
        <w:t xml:space="preserve">[Name and qualifications; consider interpreter gender in sexual or domestic violence cases]</w:t>
      </w:r>
    </w:p>
    <w:p>
      <w:pPr>
        <w:spacing w:after="80"/>
      </w:pPr>
      <w:r>
        <w:rPr>
          <w:b/>
          <w:bCs/>
        </w:rPr>
        <w:t xml:space="preserve">Evaluator / credentials / license / 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Account of Victimization</w:t>
      </w:r>
    </w:p>
    <w:p>
      <w:pPr>
        <w:spacing w:before="60"/>
      </w:pPr>
      <w:r>
        <w:rPr>
          <w:b/>
          <w:bCs/>
        </w:rPr>
        <w:t xml:space="preserve">Account</w:t>
      </w:r>
    </w:p>
    <w:p>
      <w:pPr>
        <w:spacing w:after="120"/>
      </w:pPr>
      <w:r>
        <w:rPr>
          <w:color w:val="9CA3AF"/>
        </w:rPr>
        <w:t xml:space="preserve">[Detailed narrative of the qualifying crime or abusive relationship: nature, frequency, duration, and escalation — physical violence, sexual violence, psychological abuse, coercive control, economic abuse, threats (including immigration-related threats), and isolation tactics. Document affect and demeanor during the narrative]</w:t>
      </w:r>
    </w:p>
    <w:p>
      <w:pPr>
        <w:pStyle w:val="Heading2"/>
        <w:spacing w:before="200"/>
      </w:pPr>
      <w:r>
        <w:t xml:space="preserve">Psychosocial History and Pre-Victimization Functioning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[Family of origin, development, education, immigration history, relationships, and baseline functioning before the victimization — essential for linking current symptoms to the qualifying crime]</w:t>
      </w:r>
    </w:p>
    <w:p>
      <w:pPr>
        <w:pStyle w:val="Heading2"/>
        <w:spacing w:before="200"/>
      </w:pPr>
      <w:r>
        <w:t xml:space="preserve">Current Psychological Symptoms and Mental Status</w:t>
      </w:r>
    </w:p>
    <w:p>
      <w:pPr>
        <w:spacing w:before="60"/>
      </w:pPr>
      <w:r>
        <w:rPr>
          <w:b/>
          <w:bCs/>
        </w:rPr>
        <w:t xml:space="preserve">Symptoms / MSE</w:t>
      </w:r>
    </w:p>
    <w:p>
      <w:pPr>
        <w:spacing w:after="120"/>
      </w:pPr>
      <w:r>
        <w:rPr>
          <w:color w:val="9CA3AF"/>
        </w:rPr>
        <w:t xml:space="preserve">[Mental status examination; trauma, depressive, anxiety, dissociative, and somatic symptoms; functional impairment in daily activities, work, parenting, and relationships]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[Validated instruments in the applicant's language (e.g., PCL-5, PHQ-9, GAD-7; danger/abuse measures where relevant; comprehensive measure with validity scales if feasible) — scores and response validity]</w:t>
      </w:r>
    </w:p>
    <w:p>
      <w:pPr>
        <w:pStyle w:val="Heading2"/>
        <w:spacing w:before="200"/>
      </w:pPr>
      <w:r>
        <w:t xml:space="preserve">Clinical Formulation and Causal Connection</w:t>
      </w:r>
    </w:p>
    <w:p>
      <w:pPr>
        <w:spacing w:before="60"/>
      </w:pPr>
      <w:r>
        <w:rPr>
          <w:b/>
          <w:bCs/>
        </w:rPr>
        <w:t xml:space="preserve">Formulation</w:t>
      </w:r>
    </w:p>
    <w:p>
      <w:pPr>
        <w:spacing w:after="120"/>
      </w:pPr>
      <w:r>
        <w:rPr>
          <w:color w:val="9CA3AF"/>
        </w:rPr>
        <w:t xml:space="preserve">[DSM-5-TR diagnoses supported by the data, and the explicit causal connection between the qualifying criminal activity (or battery/extreme cruelty) and the psychological harm — the central evidentiary question]</w:t>
      </w:r>
    </w:p>
    <w:p>
      <w:pPr>
        <w:spacing w:before="60"/>
      </w:pPr>
      <w:r>
        <w:rPr>
          <w:b/>
          <w:bCs/>
        </w:rPr>
        <w:t xml:space="preserve">Trauma-consistent behaviors explained</w:t>
      </w:r>
    </w:p>
    <w:p>
      <w:pPr>
        <w:spacing w:after="120"/>
      </w:pPr>
      <w:r>
        <w:rPr>
          <w:color w:val="9CA3AF"/>
        </w:rPr>
        <w:t xml:space="preserve">[Where relevant, explain delayed reporting, recantation, or continued contact with the abuser as documented trauma and coercive-control dynamics rather than credibility deficits]</w:t>
      </w:r>
    </w:p>
    <w:p>
      <w:pPr>
        <w:pStyle w:val="Heading2"/>
        <w:spacing w:before="200"/>
      </w:pPr>
      <w:r>
        <w:t xml:space="preserve">Clinical Opinion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[Whether the applicant has suffered substantial mental abuse (U-Visa) or battery/extreme cruelty (VAWA) as a result of the qualifying victimization — grounded in symptom severity, persistence, and functional impairment; include extreme-hardship impact of removal if requested]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u-visa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U-Visa / VAWA Psychological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