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Forensic Violence Risk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clinicaldocslibrary.com/forensic-legal/violence-risk-assessment/</w:t>
      </w:r>
    </w:p>
    <w:p>
      <w:pPr>
        <w:spacing w:after="80"/>
      </w:pPr>
      <w:r>
        <w:rPr>
          <w:b/>
          <w:bCs/>
        </w:rPr>
        <w:t xml:space="preserve">Evaluee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[Court, attorney, agency, or employer — the referral source is the client]</w:t>
      </w:r>
    </w:p>
    <w:p>
      <w:pPr>
        <w:spacing w:after="80"/>
      </w:pPr>
      <w:r>
        <w:rPr>
          <w:b/>
          <w:bCs/>
        </w:rPr>
        <w:t xml:space="preserve">Current location / legal status: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Psycholegal Question</w:t>
      </w:r>
    </w:p>
    <w:p>
      <w:pPr>
        <w:spacing w:before="60"/>
      </w:pPr>
      <w:r>
        <w:rPr>
          <w:b/>
          <w:bCs/>
        </w:rPr>
        <w:t xml:space="preserve">Psycholegal question</w:t>
      </w:r>
    </w:p>
    <w:p>
      <w:pPr>
        <w:spacing w:after="120"/>
      </w:pPr>
      <w:r>
        <w:rPr>
          <w:color w:val="9CA3AF"/>
        </w:rPr>
        <w:t xml:space="preserve">[The specific question and legal standard — e.g., does the evaluee pose a substantial risk of serious physical harm to others such that commitment / continued commitment / conditional release conditions are warranted?]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Never rely primarily on self-report — individuals assessed for dangerousness routinely minimize; official records and collateral sources are the primary data.</w:t>
      </w:r>
    </w:p>
    <w:p>
      <w:pPr>
        <w:pStyle w:val="Heading2"/>
        <w:spacing w:before="200"/>
      </w:pPr>
      <w:r>
        <w:t xml:space="preserve">History of Violence</w:t>
      </w:r>
    </w:p>
    <w:p>
      <w:pPr>
        <w:spacing w:before="60"/>
      </w:pPr>
      <w:r>
        <w:rPr>
          <w:b/>
          <w:bCs/>
        </w:rPr>
        <w:t xml:space="preserve">Violence history</w:t>
      </w:r>
    </w:p>
    <w:p>
      <w:pPr>
        <w:spacing w:after="120"/>
      </w:pPr>
      <w:r>
        <w:rPr>
          <w:color w:val="9CA3AF"/>
        </w:rPr>
        <w:t xml:space="preserve">[Each known incident: date, nature, severity, victim, context, weapon and substance involvement, legal outcome, and the evaluee's account — including institutional violence, domestic violence, and threats]</w:t>
      </w:r>
    </w:p>
    <w:p>
      <w:pPr>
        <w:pStyle w:val="Heading2"/>
        <w:spacing w:before="200"/>
      </w:pPr>
      <w:r>
        <w:t xml:space="preserve">Criminal, Psychiatric, and Substance Use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[Arrests and convictions; diagnoses, treatment and medication adherence, hospitalizations, and the relationship between symptoms and violent behavior; substance use patterns and their link to violent episodes]</w:t>
      </w:r>
    </w:p>
    <w:p>
      <w:pPr>
        <w:pStyle w:val="Heading2"/>
        <w:spacing w:before="200"/>
      </w:pPr>
      <w:r>
        <w:t xml:space="preserve">Current Mental Status and Presentation</w:t>
      </w:r>
    </w:p>
    <w:p>
      <w:pPr>
        <w:spacing w:before="60"/>
      </w:pPr>
      <w:r>
        <w:rPr>
          <w:b/>
          <w:bCs/>
        </w:rPr>
        <w:t xml:space="preserve">Current presentation</w:t>
      </w:r>
    </w:p>
    <w:p>
      <w:pPr>
        <w:spacing w:after="120"/>
      </w:pPr>
      <w:r>
        <w:rPr>
          <w:color w:val="9CA3AF"/>
        </w:rPr>
        <w:t xml:space="preserve">[Mental status, current symptoms, violent ideation or intent (denied/endorsed), insight into illness and risk, treatment response, and institutional behavior]</w:t>
      </w:r>
    </w:p>
    <w:p>
      <w:pPr>
        <w:pStyle w:val="Heading2"/>
        <w:spacing w:before="200"/>
      </w:pPr>
      <w:r>
        <w:t xml:space="preserve">Structured Risk Factor Analysis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Use a validated structured professional judgment instrument (e.g., HCR-20V3; SAVRY for adolescents; sexual-violence tools where applicable) and rate each factor present / partially present / not present.</w:t>
      </w:r>
    </w:p>
    <w:p>
      <w:pPr>
        <w:spacing w:before="60"/>
      </w:pPr>
      <w:r>
        <w:rPr>
          <w:b/>
          <w:bCs/>
        </w:rPr>
        <w:t xml:space="preserve">Historical factors</w:t>
      </w:r>
    </w:p>
    <w:p>
      <w:pPr>
        <w:spacing w:after="120"/>
      </w:pPr>
      <w:r>
        <w:rPr>
          <w:color w:val="9CA3AF"/>
        </w:rPr>
        <w:t xml:space="preserve">[Static factors: prior violence, age at first incident, relationship instability, employment problems, substance use, major mental disorder, personality disorder/psychopathy, early maladjustment, trauma, prior supervision failure]</w:t>
      </w:r>
    </w:p>
    <w:p>
      <w:pPr>
        <w:spacing w:before="60"/>
      </w:pPr>
      <w:r>
        <w:rPr>
          <w:b/>
          <w:bCs/>
        </w:rPr>
        <w:t xml:space="preserve">Clinical factors</w:t>
      </w:r>
    </w:p>
    <w:p>
      <w:pPr>
        <w:spacing w:after="120"/>
      </w:pPr>
      <w:r>
        <w:rPr>
          <w:color w:val="9CA3AF"/>
        </w:rPr>
        <w:t xml:space="preserve">[Dynamic factors: insight, violent ideation or intent, active symptoms, instability, treatment and supervision response]</w:t>
      </w:r>
    </w:p>
    <w:p>
      <w:pPr>
        <w:spacing w:before="60"/>
      </w:pPr>
      <w:r>
        <w:rPr>
          <w:b/>
          <w:bCs/>
        </w:rPr>
        <w:t xml:space="preserve">Risk management factors</w:t>
      </w:r>
    </w:p>
    <w:p>
      <w:pPr>
        <w:spacing w:after="120"/>
      </w:pPr>
      <w:r>
        <w:rPr>
          <w:color w:val="9CA3AF"/>
        </w:rPr>
        <w:t xml:space="preserve">[Context going forward: professional services and plans, living situation, personal support, anticipated treatment compliance, stress and coping]</w:t>
      </w:r>
    </w:p>
    <w:p>
      <w:pPr>
        <w:pStyle w:val="Heading2"/>
        <w:spacing w:before="200"/>
      </w:pPr>
      <w:r>
        <w:t xml:space="preserve">Protective Factors</w:t>
      </w:r>
    </w:p>
    <w:p>
      <w:pPr>
        <w:spacing w:before="60"/>
      </w:pPr>
      <w:r>
        <w:rPr>
          <w:b/>
          <w:bCs/>
        </w:rPr>
        <w:t xml:space="preserve">Protective factors</w:t>
      </w:r>
    </w:p>
    <w:p>
      <w:pPr>
        <w:spacing w:after="120"/>
      </w:pPr>
      <w:r>
        <w:rPr>
          <w:color w:val="9CA3AF"/>
        </w:rPr>
        <w:t xml:space="preserve">[Systematically assessed (e.g., SAPROF): prosocial involvement, social support, treatment responsivity, structure, motivation]</w:t>
      </w:r>
    </w:p>
    <w:p>
      <w:pPr>
        <w:pStyle w:val="Heading2"/>
        <w:spacing w:before="200"/>
      </w:pPr>
      <w:r>
        <w:t xml:space="preserve">Risk Formulation</w:t>
      </w:r>
    </w:p>
    <w:p>
      <w:pPr>
        <w:spacing w:before="60"/>
      </w:pPr>
      <w:r>
        <w:rPr>
          <w:b/>
          <w:bCs/>
        </w:rPr>
        <w:t xml:space="preserve">Formulation</w:t>
      </w:r>
    </w:p>
    <w:p>
      <w:pPr>
        <w:spacing w:after="120"/>
      </w:pPr>
      <w:r>
        <w:rPr>
          <w:color w:val="9CA3AF"/>
        </w:rPr>
        <w:t xml:space="preserve">[Narrative explanation of the evaluee's violence: motivators, disinhibitors, destabilizers; instrumental vs. reactive; the specific mechanism linking symptoms or circumstances to past violence and whether it is currently present or likely to recur]</w:t>
      </w:r>
    </w:p>
    <w:p>
      <w:pPr>
        <w:pStyle w:val="Heading2"/>
        <w:spacing w:before="200"/>
      </w:pPr>
      <w:r>
        <w:t xml:space="preserve">Risk Communication</w:t>
      </w:r>
    </w:p>
    <w:p>
      <w:pPr>
        <w:spacing w:after="80"/>
      </w:pPr>
      <w:r>
        <w:rPr>
          <w:b/>
          <w:bCs/>
        </w:rPr>
        <w:t xml:space="preserve">Overall risk level: </w:t>
      </w:r>
      <w:r>
        <w:rPr>
          <w:color w:val="9CA3AF"/>
        </w:rPr>
        <w:t xml:space="preserve">[Low / Moderate / High — categorical, never a numerical probability or binary prediction]</w:t>
      </w:r>
    </w:p>
    <w:p>
      <w:pPr>
        <w:spacing w:before="60"/>
      </w:pPr>
      <w:r>
        <w:rPr>
          <w:b/>
          <w:bCs/>
        </w:rPr>
        <w:t xml:space="preserve">Nature, severity, imminence, and likely targets</w:t>
      </w:r>
    </w:p>
    <w:p>
      <w:pPr>
        <w:spacing w:after="120"/>
      </w:pPr>
      <w:r>
        <w:rPr>
          <w:color w:val="9CA3AF"/>
        </w:rPr>
        <w:t xml:space="preserve">[Type of potential violence, expected severity, imminence, frequency, and probable victims or contexts]</w:t>
      </w:r>
    </w:p>
    <w:p>
      <w:pPr>
        <w:spacing w:before="60"/>
      </w:pPr>
      <w:r>
        <w:rPr>
          <w:b/>
          <w:bCs/>
        </w:rPr>
        <w:t xml:space="preserve">Scenarios that would increase or decrease risk</w:t>
      </w:r>
    </w:p>
    <w:p>
      <w:pPr>
        <w:spacing w:after="120"/>
      </w:pPr>
      <w:r>
        <w:rPr>
          <w:color w:val="9CA3AF"/>
        </w:rPr>
        <w:t xml:space="preserve">[Specific circumstances — e.g., treatment discontinuation, unstructured living, substance use — and the conditions that mitigate them]</w:t>
      </w:r>
    </w:p>
    <w:p>
      <w:pPr>
        <w:pStyle w:val="Heading2"/>
        <w:spacing w:before="200"/>
      </w:pPr>
      <w:r>
        <w:t xml:space="preserve">Risk Management Recommendations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[Specific, practical strategies tied to the formulation: level of care, supervision, medication strategies, monitoring, reassessment intervals]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violence-risk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Forensic Violence Risk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