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Workers' Compensation Psychological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clinicaldocslibrary.com/forensic-legal/workers-comp-report/</w:t>
      </w:r>
    </w:p>
    <w:p>
      <w:pPr>
        <w:spacing w:after="80"/>
      </w:pPr>
      <w:r>
        <w:rPr>
          <w:b/>
          <w:bCs/>
        </w:rPr>
        <w:t xml:space="preserve">Claimant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Employer / occupation / tenure: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Claim number / date of injury or cumulative exposure: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 / role: </w:t>
      </w:r>
      <w:r>
        <w:rPr>
          <w:color w:val="9CA3AF"/>
        </w:rPr>
        <w:t xml:space="preserve">[Carrier, employer, judge, or attorney; state whether you are the treating provider or an independent evaluator]</w:t>
      </w:r>
    </w:p>
    <w:p>
      <w:pPr>
        <w:spacing w:after="80"/>
      </w:pPr>
      <w:r>
        <w:rPr>
          <w:b/>
          <w:bCs/>
        </w:rPr>
        <w:t xml:space="preserve">Evaluator / credentials / license / date(s) of evaluation / date of report: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Referral Questions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[Is there a compensable psychological injury arising out of and in the course of employment?]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[What are the functional limitations? Has the claimant reached MMI? Can the claimant return to work, and with what restrictions?]</w:t>
      </w:r>
    </w:p>
    <w:p>
      <w:pPr>
        <w:pStyle w:val="Heading2"/>
        <w:spacing w:before="200"/>
      </w:pPr>
      <w:r>
        <w:t xml:space="preserve">Notification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[Document that the evaluee was informed of: the purpose of the evaluation; who requested it; who will receive the report; the limits of confidentiality; that this is not treatment and no therapeutic relationship exists; the voluntary or involuntary nature of participation. Record the evaluee's demonstrated understanding and response]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Employment History and Job Demands</w:t>
      </w:r>
    </w:p>
    <w:p>
      <w:pPr>
        <w:spacing w:before="60"/>
      </w:pPr>
      <w:r>
        <w:rPr>
          <w:b/>
          <w:bCs/>
        </w:rPr>
        <w:t xml:space="preserve">Job description</w:t>
      </w:r>
    </w:p>
    <w:p>
      <w:pPr>
        <w:spacing w:after="120"/>
      </w:pPr>
      <w:r>
        <w:rPr>
          <w:color w:val="9CA3AF"/>
        </w:rPr>
        <w:t xml:space="preserve">[Duties, work environment, and demands of the position; for cumulative-exposure claims (e.g., first responders), the nature and frequency of critical incident exposure]</w:t>
      </w:r>
    </w:p>
    <w:p>
      <w:pPr>
        <w:pStyle w:val="Heading2"/>
        <w:spacing w:before="200"/>
      </w:pPr>
      <w:r>
        <w:t xml:space="preserve">Mechanism of Injury</w:t>
      </w:r>
    </w:p>
    <w:p>
      <w:pPr>
        <w:spacing w:before="60"/>
      </w:pPr>
      <w:r>
        <w:rPr>
          <w:b/>
          <w:bCs/>
        </w:rPr>
        <w:t xml:space="preserve">Mechanism</w:t>
      </w:r>
    </w:p>
    <w:p>
      <w:pPr>
        <w:spacing w:after="120"/>
      </w:pPr>
      <w:r>
        <w:rPr>
          <w:color w:val="9CA3AF"/>
        </w:rPr>
        <w:t xml:space="preserve">[The specific workplace event or the documented pattern of exposure over time alleged to have caused the injury — corroborated with incident reports, exposure logs, and witness statements, not self-report alone]</w:t>
      </w:r>
    </w:p>
    <w:p>
      <w:pPr>
        <w:pStyle w:val="Heading2"/>
        <w:spacing w:before="200"/>
      </w:pPr>
      <w:r>
        <w:t xml:space="preserve">Pre-Injury Psychological History</w:t>
      </w:r>
    </w:p>
    <w:p>
      <w:pPr>
        <w:spacing w:before="60"/>
      </w:pPr>
      <w:r>
        <w:rPr>
          <w:b/>
          <w:bCs/>
        </w:rPr>
        <w:t xml:space="preserve">Pre-injury baseline</w:t>
      </w:r>
    </w:p>
    <w:p>
      <w:pPr>
        <w:spacing w:after="120"/>
      </w:pPr>
      <w:r>
        <w:rPr>
          <w:color w:val="9CA3AF"/>
        </w:rPr>
        <w:t xml:space="preserve">[Prior conditions, treatment, medications, and functional limitations, established through records — central to causation and any apportionment analysis]</w:t>
      </w:r>
    </w:p>
    <w:p>
      <w:pPr>
        <w:pStyle w:val="Heading2"/>
        <w:spacing w:before="200"/>
      </w:pPr>
      <w:r>
        <w:t xml:space="preserve">Clinical Examination and Symptom Assessment</w:t>
      </w:r>
    </w:p>
    <w:p>
      <w:pPr>
        <w:spacing w:before="60"/>
      </w:pPr>
      <w:r>
        <w:rPr>
          <w:b/>
          <w:bCs/>
        </w:rPr>
        <w:t xml:space="preserve">Current presentation</w:t>
      </w:r>
    </w:p>
    <w:p>
      <w:pPr>
        <w:spacing w:after="120"/>
      </w:pPr>
      <w:r>
        <w:rPr>
          <w:color w:val="9CA3AF"/>
        </w:rPr>
        <w:t xml:space="preserve">[Symptoms, onset and course relative to the workplace exposure, mental status, treatment to date and response]</w:t>
      </w:r>
    </w:p>
    <w:p>
      <w:pPr>
        <w:pStyle w:val="Heading2"/>
        <w:spacing w:before="200"/>
      </w:pPr>
      <w:r>
        <w:t xml:space="preserve">Symptom Validity Assessment</w:t>
      </w:r>
    </w:p>
    <w:p>
      <w:pPr>
        <w:spacing w:before="60"/>
      </w:pPr>
      <w:r>
        <w:rPr>
          <w:b/>
          <w:bCs/>
        </w:rPr>
        <w:t xml:space="preserve">Validity</w:t>
      </w:r>
    </w:p>
    <w:p>
      <w:pPr>
        <w:spacing w:after="120"/>
      </w:pPr>
      <w:r>
        <w:rPr>
          <w:color w:val="9CA3AF"/>
        </w:rPr>
        <w:t xml:space="preserve">[Formal symptom and performance validity measures with scores — compensation-seeking contexts require validity assessment; report the implications for the diagnostic conclusions]</w:t>
      </w:r>
    </w:p>
    <w:p>
      <w:pPr>
        <w:pStyle w:val="Heading2"/>
        <w:spacing w:before="200"/>
      </w:pPr>
      <w:r>
        <w:t xml:space="preserve">Functional Capacity Assessment</w:t>
      </w:r>
    </w:p>
    <w:p>
      <w:pPr>
        <w:spacing w:before="60"/>
      </w:pPr>
      <w:r>
        <w:rPr>
          <w:b/>
          <w:bCs/>
        </w:rPr>
        <w:t xml:space="preserve">Functional limitations</w:t>
      </w:r>
    </w:p>
    <w:p>
      <w:pPr>
        <w:spacing w:after="120"/>
      </w:pPr>
      <w:r>
        <w:rPr>
          <w:color w:val="9CA3AF"/>
        </w:rPr>
        <w:t xml:space="preserve">[Specific, work-relevant limitations: sustained concentration over a full workday, interpersonal functioning, stress tolerance, adaptability, attendance reliability, ability to work around identified triggers — framed as what the claimant can and cannot do]</w:t>
      </w:r>
    </w:p>
    <w:p>
      <w:pPr>
        <w:pStyle w:val="Heading2"/>
        <w:spacing w:before="200"/>
      </w:pPr>
      <w:r>
        <w:t xml:space="preserve">Causation Opinion</w:t>
      </w:r>
    </w:p>
    <w:p>
      <w:pPr>
        <w:spacing w:before="60"/>
      </w:pPr>
      <w:r>
        <w:rPr>
          <w:b/>
          <w:bCs/>
        </w:rPr>
        <w:t xml:space="preserve">Causation</w:t>
      </w:r>
    </w:p>
    <w:p>
      <w:pPr>
        <w:spacing w:after="120"/>
      </w:pPr>
      <w:r>
        <w:rPr>
          <w:color w:val="9CA3AF"/>
        </w:rPr>
        <w:t xml:space="preserve">[Whether the condition arose out of and in the course of employment under the jurisdiction's statutory standard; address pre-existing conditions, alternative explanations, and apportionment if applicable]</w:t>
      </w:r>
    </w:p>
    <w:p>
      <w:pPr>
        <w:pStyle w:val="Heading2"/>
        <w:spacing w:before="200"/>
      </w:pPr>
      <w:r>
        <w:t xml:space="preserve">MMI and Impairment Rating</w:t>
      </w:r>
    </w:p>
    <w:p>
      <w:pPr>
        <w:spacing w:before="60"/>
      </w:pPr>
      <w:r>
        <w:rPr>
          <w:b/>
          <w:bCs/>
        </w:rPr>
        <w:t xml:space="preserve">MMI determination</w:t>
      </w:r>
    </w:p>
    <w:p>
      <w:pPr>
        <w:spacing w:after="120"/>
      </w:pPr>
      <w:r>
        <w:rPr>
          <w:color w:val="9CA3AF"/>
        </w:rPr>
        <w:t xml:space="preserve">[Whether maximum medical improvement has been reached; if not, the estimated timeline; if so, the permanent impairment rating under the jurisdiction's required system (e.g., AMA Guides edition)]</w:t>
      </w:r>
    </w:p>
    <w:p>
      <w:pPr>
        <w:pStyle w:val="Heading2"/>
        <w:spacing w:before="200"/>
      </w:pPr>
      <w:r>
        <w:t xml:space="preserve">Return-to-Work Opinion</w:t>
      </w:r>
    </w:p>
    <w:p>
      <w:pPr>
        <w:spacing w:before="60"/>
      </w:pPr>
      <w:r>
        <w:rPr>
          <w:b/>
          <w:bCs/>
        </w:rPr>
        <w:t xml:space="preserve">Return to work</w:t>
      </w:r>
    </w:p>
    <w:p>
      <w:pPr>
        <w:spacing w:after="120"/>
      </w:pPr>
      <w:r>
        <w:rPr>
          <w:color w:val="9CA3AF"/>
        </w:rPr>
        <w:t xml:space="preserve">[Capacity to return to the prior position, modified duty, or alternative employment; specific restrictions and accommodations; vocational rehabilitation considerations]</w:t>
      </w:r>
    </w:p>
    <w:p>
      <w:pPr>
        <w:spacing w:after="80"/>
      </w:pPr>
      <w:r>
        <w:rPr>
          <w:b/>
          <w:bCs/>
        </w:rPr>
        <w:t xml:space="preserve">Diagnoses (DSM-5-TR / ICD-10):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workers-comp-repor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Workers' Compensation Psychological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